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A95B0">
      <w:pPr>
        <w:keepNext w:val="0"/>
        <w:keepLines w:val="0"/>
        <w:pageBreakBefore w:val="0"/>
        <w:widowControl w:val="0"/>
        <w:kinsoku/>
        <w:wordWrap/>
        <w:overflowPunct/>
        <w:topLinePunct w:val="0"/>
        <w:autoSpaceDE/>
        <w:autoSpaceDN/>
        <w:bidi w:val="0"/>
        <w:adjustRightInd/>
        <w:snapToGrid/>
        <w:spacing w:line="600" w:lineRule="exact"/>
        <w:ind w:left="3078" w:leftChars="418" w:hanging="2200" w:hangingChars="500"/>
        <w:jc w:val="both"/>
        <w:textAlignment w:val="auto"/>
        <w:rPr>
          <w:rFonts w:hint="eastAsia" w:ascii="方正小标宋简体" w:hAnsi="方正小标宋简体" w:eastAsia="方正小标宋简体" w:cs="方正小标宋简体"/>
          <w:b w:val="0"/>
          <w:i w:val="0"/>
          <w:strike w:val="0"/>
          <w:color w:val="auto"/>
          <w:kern w:val="2"/>
          <w:sz w:val="44"/>
          <w:szCs w:val="44"/>
          <w:u w:val="none"/>
          <w:lang w:val="en-US" w:eastAsia="zh-CN" w:bidi="ar-SA"/>
        </w:rPr>
      </w:pPr>
      <w:r>
        <w:rPr>
          <w:rFonts w:hint="eastAsia" w:ascii="方正小标宋简体" w:hAnsi="方正小标宋简体" w:eastAsia="方正小标宋简体" w:cs="方正小标宋简体"/>
          <w:b w:val="0"/>
          <w:i w:val="0"/>
          <w:strike w:val="0"/>
          <w:color w:val="auto"/>
          <w:kern w:val="2"/>
          <w:sz w:val="44"/>
          <w:szCs w:val="44"/>
          <w:u w:val="none"/>
          <w:lang w:val="en-US" w:eastAsia="zh-CN" w:bidi="ar-SA"/>
        </w:rPr>
        <w:t>成都公证处2025年固定资产清查服务采购需求明细</w:t>
      </w:r>
    </w:p>
    <w:p w14:paraId="6C71E57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b w:val="0"/>
          <w:i w:val="0"/>
          <w:strike w:val="0"/>
          <w:color w:val="auto"/>
          <w:kern w:val="2"/>
          <w:sz w:val="32"/>
          <w:szCs w:val="32"/>
          <w:u w:val="none"/>
          <w:lang w:val="en-US" w:eastAsia="zh-CN" w:bidi="ar-SA"/>
        </w:rPr>
      </w:pPr>
    </w:p>
    <w:p w14:paraId="3CD39867">
      <w:pPr>
        <w:keepNext w:val="0"/>
        <w:keepLines w:val="0"/>
        <w:pageBreakBefore w:val="0"/>
        <w:widowControl w:val="0"/>
        <w:kinsoku/>
        <w:wordWrap/>
        <w:overflowPunct/>
        <w:topLinePunct w:val="0"/>
        <w:autoSpaceDE/>
        <w:autoSpaceDN/>
        <w:bidi w:val="0"/>
        <w:adjustRightInd/>
        <w:snapToGrid/>
        <w:spacing w:line="240" w:lineRule="auto"/>
        <w:ind w:firstLine="602" w:firstLineChars="200"/>
        <w:jc w:val="both"/>
        <w:textAlignment w:val="auto"/>
        <w:rPr>
          <w:rFonts w:hint="eastAsia" w:ascii="仿宋_GB2312" w:hAnsi="仿宋_GB2312" w:eastAsia="仿宋_GB2312" w:cs="仿宋_GB2312"/>
          <w:b/>
          <w:i w:val="0"/>
          <w:strike w:val="0"/>
          <w:color w:val="auto"/>
          <w:sz w:val="30"/>
          <w:szCs w:val="30"/>
          <w:u w:val="none"/>
          <w:lang w:val="en-US" w:eastAsia="zh-CN"/>
        </w:rPr>
      </w:pPr>
      <w:r>
        <w:rPr>
          <w:rFonts w:hint="eastAsia" w:ascii="仿宋_GB2312" w:hAnsi="仿宋_GB2312" w:eastAsia="仿宋_GB2312" w:cs="仿宋_GB2312"/>
          <w:b/>
          <w:i w:val="0"/>
          <w:strike w:val="0"/>
          <w:color w:val="auto"/>
          <w:sz w:val="30"/>
          <w:szCs w:val="30"/>
          <w:u w:val="none"/>
          <w:lang w:val="en-US" w:eastAsia="zh-CN"/>
        </w:rPr>
        <w:t>1.固定资产清查服务</w:t>
      </w:r>
    </w:p>
    <w:tbl>
      <w:tblPr>
        <w:tblStyle w:val="4"/>
        <w:tblW w:w="9381"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10"/>
        <w:gridCol w:w="6000"/>
        <w:gridCol w:w="1871"/>
      </w:tblGrid>
      <w:tr w14:paraId="6F29D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10" w:type="dxa"/>
            <w:tcBorders>
              <w:top w:val="single" w:color="000000" w:sz="8" w:space="0"/>
              <w:left w:val="single" w:color="000000" w:sz="8" w:space="0"/>
              <w:bottom w:val="single" w:color="000000" w:sz="8" w:space="0"/>
              <w:right w:val="single" w:color="000000" w:sz="8" w:space="0"/>
            </w:tcBorders>
            <w:noWrap/>
            <w:vAlign w:val="center"/>
          </w:tcPr>
          <w:p w14:paraId="5F6B6402">
            <w:pPr>
              <w:keepNext w:val="0"/>
              <w:keepLines w:val="0"/>
              <w:pageBreakBefore w:val="0"/>
              <w:widowControl w:val="0"/>
              <w:kinsoku/>
              <w:wordWrap/>
              <w:overflowPunct/>
              <w:topLinePunct w:val="0"/>
              <w:autoSpaceDE/>
              <w:autoSpaceDN/>
              <w:bidi w:val="0"/>
              <w:adjustRightInd/>
              <w:snapToGrid/>
              <w:spacing w:after="120" w:line="520" w:lineRule="exact"/>
              <w:jc w:val="center"/>
              <w:textAlignment w:val="auto"/>
              <w:rPr>
                <w:rFonts w:hint="eastAsia" w:ascii="仿宋_GB2312" w:hAnsi="仿宋_GB2312" w:eastAsia="仿宋_GB2312" w:cs="仿宋_GB2312"/>
                <w:b/>
                <w:bCs/>
                <w:i w:val="0"/>
                <w:strike w:val="0"/>
                <w:color w:val="auto"/>
                <w:sz w:val="30"/>
                <w:szCs w:val="30"/>
                <w:u w:val="none"/>
                <w:lang w:val="en-US" w:eastAsia="zh-CN"/>
              </w:rPr>
            </w:pPr>
            <w:r>
              <w:rPr>
                <w:rFonts w:hint="eastAsia" w:ascii="仿宋_GB2312" w:hAnsi="仿宋_GB2312" w:eastAsia="仿宋_GB2312" w:cs="仿宋_GB2312"/>
                <w:b/>
                <w:bCs/>
                <w:i w:val="0"/>
                <w:strike w:val="0"/>
                <w:color w:val="auto"/>
                <w:sz w:val="30"/>
                <w:szCs w:val="30"/>
                <w:u w:val="none"/>
                <w:lang w:val="en-US" w:eastAsia="zh-CN"/>
              </w:rPr>
              <w:t>内容</w:t>
            </w:r>
          </w:p>
        </w:tc>
        <w:tc>
          <w:tcPr>
            <w:tcW w:w="6000" w:type="dxa"/>
            <w:tcBorders>
              <w:top w:val="single" w:color="000000" w:sz="8" w:space="0"/>
              <w:left w:val="nil"/>
              <w:bottom w:val="single" w:color="000000" w:sz="8" w:space="0"/>
              <w:right w:val="single" w:color="000000" w:sz="8" w:space="0"/>
            </w:tcBorders>
            <w:noWrap/>
            <w:vAlign w:val="center"/>
          </w:tcPr>
          <w:p w14:paraId="7497EE01">
            <w:pPr>
              <w:keepNext w:val="0"/>
              <w:keepLines w:val="0"/>
              <w:pageBreakBefore w:val="0"/>
              <w:widowControl w:val="0"/>
              <w:kinsoku/>
              <w:wordWrap/>
              <w:overflowPunct/>
              <w:topLinePunct w:val="0"/>
              <w:autoSpaceDE/>
              <w:autoSpaceDN/>
              <w:bidi w:val="0"/>
              <w:adjustRightInd/>
              <w:snapToGrid/>
              <w:spacing w:after="120" w:line="520" w:lineRule="exact"/>
              <w:ind w:firstLine="602" w:firstLineChars="200"/>
              <w:jc w:val="center"/>
              <w:textAlignment w:val="auto"/>
              <w:rPr>
                <w:rFonts w:hint="eastAsia" w:ascii="仿宋_GB2312" w:hAnsi="仿宋_GB2312" w:eastAsia="仿宋_GB2312" w:cs="仿宋_GB2312"/>
                <w:b/>
                <w:bCs/>
                <w:i w:val="0"/>
                <w:strike w:val="0"/>
                <w:color w:val="auto"/>
                <w:sz w:val="30"/>
                <w:szCs w:val="30"/>
                <w:u w:val="none"/>
                <w:lang w:val="en-US" w:eastAsia="zh-CN"/>
              </w:rPr>
            </w:pPr>
            <w:r>
              <w:rPr>
                <w:rFonts w:hint="eastAsia" w:ascii="仿宋_GB2312" w:hAnsi="仿宋_GB2312" w:eastAsia="仿宋_GB2312" w:cs="仿宋_GB2312"/>
                <w:b/>
                <w:bCs/>
                <w:i w:val="0"/>
                <w:strike w:val="0"/>
                <w:color w:val="auto"/>
                <w:sz w:val="30"/>
                <w:szCs w:val="30"/>
                <w:u w:val="none"/>
                <w:lang w:val="en-US" w:eastAsia="zh-CN"/>
              </w:rPr>
              <w:t>具体要求</w:t>
            </w:r>
          </w:p>
        </w:tc>
        <w:tc>
          <w:tcPr>
            <w:tcW w:w="1871" w:type="dxa"/>
            <w:tcBorders>
              <w:top w:val="single" w:color="000000" w:sz="8" w:space="0"/>
              <w:left w:val="nil"/>
              <w:bottom w:val="single" w:color="000000" w:sz="8" w:space="0"/>
              <w:right w:val="single" w:color="000000" w:sz="8" w:space="0"/>
            </w:tcBorders>
            <w:noWrap/>
            <w:vAlign w:val="center"/>
          </w:tcPr>
          <w:p w14:paraId="213E0A08">
            <w:pPr>
              <w:keepNext w:val="0"/>
              <w:keepLines w:val="0"/>
              <w:pageBreakBefore w:val="0"/>
              <w:widowControl w:val="0"/>
              <w:kinsoku/>
              <w:wordWrap/>
              <w:overflowPunct/>
              <w:topLinePunct w:val="0"/>
              <w:autoSpaceDE/>
              <w:autoSpaceDN/>
              <w:bidi w:val="0"/>
              <w:adjustRightInd/>
              <w:snapToGrid/>
              <w:spacing w:after="120" w:line="520" w:lineRule="exact"/>
              <w:jc w:val="center"/>
              <w:textAlignment w:val="auto"/>
              <w:rPr>
                <w:rFonts w:hint="eastAsia" w:ascii="仿宋_GB2312" w:hAnsi="仿宋_GB2312" w:eastAsia="仿宋_GB2312" w:cs="仿宋_GB2312"/>
                <w:b/>
                <w:bCs/>
                <w:i w:val="0"/>
                <w:strike w:val="0"/>
                <w:color w:val="auto"/>
                <w:sz w:val="30"/>
                <w:szCs w:val="30"/>
                <w:u w:val="none"/>
                <w:lang w:val="en-US" w:eastAsia="zh-CN"/>
              </w:rPr>
            </w:pPr>
            <w:r>
              <w:rPr>
                <w:rFonts w:hint="eastAsia" w:ascii="仿宋_GB2312" w:hAnsi="仿宋_GB2312" w:eastAsia="仿宋_GB2312" w:cs="仿宋_GB2312"/>
                <w:b/>
                <w:bCs/>
                <w:i w:val="0"/>
                <w:strike w:val="0"/>
                <w:color w:val="auto"/>
                <w:sz w:val="30"/>
                <w:szCs w:val="30"/>
                <w:u w:val="none"/>
                <w:lang w:val="en-US" w:eastAsia="zh-CN"/>
              </w:rPr>
              <w:t>验收标准</w:t>
            </w:r>
          </w:p>
        </w:tc>
      </w:tr>
      <w:tr w14:paraId="0269F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10" w:type="dxa"/>
            <w:tcBorders>
              <w:top w:val="single" w:color="000000" w:sz="8" w:space="0"/>
              <w:left w:val="single" w:color="000000" w:sz="8" w:space="0"/>
              <w:bottom w:val="single" w:color="000000" w:sz="8" w:space="0"/>
              <w:right w:val="single" w:color="000000" w:sz="8" w:space="0"/>
            </w:tcBorders>
            <w:noWrap/>
            <w:vAlign w:val="center"/>
          </w:tcPr>
          <w:p w14:paraId="0C495B05">
            <w:pPr>
              <w:keepNext w:val="0"/>
              <w:keepLines w:val="0"/>
              <w:pageBreakBefore w:val="0"/>
              <w:widowControl w:val="0"/>
              <w:kinsoku/>
              <w:wordWrap/>
              <w:overflowPunct/>
              <w:topLinePunct w:val="0"/>
              <w:autoSpaceDE/>
              <w:autoSpaceDN/>
              <w:bidi w:val="0"/>
              <w:adjustRightInd/>
              <w:snapToGrid/>
              <w:spacing w:after="120" w:line="520" w:lineRule="exact"/>
              <w:jc w:val="both"/>
              <w:textAlignment w:val="auto"/>
              <w:rPr>
                <w:rFonts w:hint="eastAsia" w:ascii="仿宋_GB2312" w:hAnsi="仿宋_GB2312" w:eastAsia="仿宋_GB2312" w:cs="仿宋_GB2312"/>
                <w:b w:val="0"/>
                <w:i w:val="0"/>
                <w:strike w:val="0"/>
                <w:color w:val="auto"/>
                <w:sz w:val="30"/>
                <w:szCs w:val="30"/>
                <w:u w:val="none"/>
                <w:lang w:val="en-US" w:eastAsia="zh-CN"/>
              </w:rPr>
            </w:pPr>
            <w:r>
              <w:rPr>
                <w:rFonts w:hint="eastAsia" w:ascii="仿宋_GB2312" w:hAnsi="仿宋_GB2312" w:eastAsia="仿宋_GB2312" w:cs="仿宋_GB2312"/>
                <w:b w:val="0"/>
                <w:i w:val="0"/>
                <w:strike w:val="0"/>
                <w:color w:val="auto"/>
                <w:sz w:val="30"/>
                <w:szCs w:val="30"/>
                <w:u w:val="none"/>
                <w:lang w:val="en-US" w:eastAsia="zh-CN"/>
              </w:rPr>
              <w:t>盘点资产</w:t>
            </w:r>
          </w:p>
        </w:tc>
        <w:tc>
          <w:tcPr>
            <w:tcW w:w="6000" w:type="dxa"/>
            <w:tcBorders>
              <w:top w:val="single" w:color="000000" w:sz="8" w:space="0"/>
              <w:left w:val="nil"/>
              <w:bottom w:val="single" w:color="000000" w:sz="8" w:space="0"/>
              <w:right w:val="single" w:color="000000" w:sz="8" w:space="0"/>
            </w:tcBorders>
            <w:noWrap/>
            <w:vAlign w:val="center"/>
          </w:tcPr>
          <w:p w14:paraId="067C4522">
            <w:pPr>
              <w:keepNext w:val="0"/>
              <w:keepLines w:val="0"/>
              <w:pageBreakBefore w:val="0"/>
              <w:widowControl w:val="0"/>
              <w:kinsoku/>
              <w:wordWrap/>
              <w:overflowPunct/>
              <w:topLinePunct w:val="0"/>
              <w:autoSpaceDE/>
              <w:autoSpaceDN/>
              <w:bidi w:val="0"/>
              <w:adjustRightInd/>
              <w:snapToGrid/>
              <w:spacing w:after="120" w:line="520" w:lineRule="exact"/>
              <w:ind w:firstLine="600" w:firstLineChars="200"/>
              <w:jc w:val="both"/>
              <w:textAlignment w:val="auto"/>
              <w:rPr>
                <w:rFonts w:hint="eastAsia" w:ascii="仿宋_GB2312" w:hAnsi="仿宋_GB2312" w:eastAsia="仿宋_GB2312" w:cs="仿宋_GB2312"/>
                <w:b w:val="0"/>
                <w:i w:val="0"/>
                <w:strike w:val="0"/>
                <w:color w:val="auto"/>
                <w:sz w:val="30"/>
                <w:szCs w:val="30"/>
                <w:u w:val="none"/>
                <w:lang w:val="en-US" w:eastAsia="zh-CN"/>
              </w:rPr>
            </w:pPr>
            <w:r>
              <w:rPr>
                <w:rFonts w:hint="eastAsia" w:ascii="仿宋_GB2312" w:hAnsi="仿宋_GB2312" w:eastAsia="仿宋_GB2312" w:cs="仿宋_GB2312"/>
                <w:b w:val="0"/>
                <w:i w:val="0"/>
                <w:strike w:val="0"/>
                <w:color w:val="auto"/>
                <w:sz w:val="30"/>
                <w:szCs w:val="30"/>
                <w:u w:val="none"/>
                <w:lang w:val="en-US" w:eastAsia="zh-CN"/>
              </w:rPr>
              <w:t>全面盘点资产，盘点时采用移动设备对分别资产进行现场登记，并生成电子盘点表。（清查时要及时生成各部门在用资产的表格，打印并下发，各个部门人员核实并更正数据，完全无误后，签字确认。）</w:t>
            </w:r>
          </w:p>
        </w:tc>
        <w:tc>
          <w:tcPr>
            <w:tcW w:w="1871" w:type="dxa"/>
            <w:tcBorders>
              <w:top w:val="single" w:color="000000" w:sz="8" w:space="0"/>
              <w:left w:val="nil"/>
              <w:bottom w:val="single" w:color="000000" w:sz="8" w:space="0"/>
              <w:right w:val="single" w:color="000000" w:sz="8" w:space="0"/>
            </w:tcBorders>
            <w:noWrap/>
            <w:vAlign w:val="center"/>
          </w:tcPr>
          <w:p w14:paraId="4C930CEC">
            <w:pPr>
              <w:keepNext w:val="0"/>
              <w:keepLines w:val="0"/>
              <w:pageBreakBefore w:val="0"/>
              <w:widowControl w:val="0"/>
              <w:kinsoku/>
              <w:wordWrap/>
              <w:overflowPunct/>
              <w:topLinePunct w:val="0"/>
              <w:autoSpaceDE/>
              <w:autoSpaceDN/>
              <w:bidi w:val="0"/>
              <w:adjustRightInd/>
              <w:snapToGrid/>
              <w:spacing w:after="120" w:line="520" w:lineRule="exact"/>
              <w:jc w:val="both"/>
              <w:textAlignment w:val="auto"/>
              <w:rPr>
                <w:rFonts w:hint="eastAsia" w:ascii="仿宋_GB2312" w:hAnsi="仿宋_GB2312" w:eastAsia="仿宋_GB2312" w:cs="仿宋_GB2312"/>
                <w:b w:val="0"/>
                <w:i w:val="0"/>
                <w:strike w:val="0"/>
                <w:color w:val="auto"/>
                <w:sz w:val="30"/>
                <w:szCs w:val="30"/>
                <w:u w:val="none"/>
                <w:lang w:val="en-US" w:eastAsia="zh-CN"/>
              </w:rPr>
            </w:pPr>
            <w:r>
              <w:rPr>
                <w:rFonts w:hint="eastAsia" w:ascii="仿宋_GB2312" w:hAnsi="仿宋_GB2312" w:eastAsia="仿宋_GB2312" w:cs="仿宋_GB2312"/>
                <w:b w:val="0"/>
                <w:i w:val="0"/>
                <w:strike w:val="0"/>
                <w:color w:val="auto"/>
                <w:sz w:val="30"/>
                <w:szCs w:val="30"/>
                <w:u w:val="none"/>
                <w:lang w:val="en-US" w:eastAsia="zh-CN"/>
              </w:rPr>
              <w:t>0误差率</w:t>
            </w:r>
          </w:p>
        </w:tc>
      </w:tr>
      <w:tr w14:paraId="70001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510" w:type="dxa"/>
            <w:tcBorders>
              <w:top w:val="nil"/>
              <w:left w:val="single" w:color="000000" w:sz="8" w:space="0"/>
              <w:bottom w:val="single" w:color="000000" w:sz="8" w:space="0"/>
              <w:right w:val="single" w:color="000000" w:sz="8" w:space="0"/>
            </w:tcBorders>
            <w:noWrap/>
            <w:vAlign w:val="center"/>
          </w:tcPr>
          <w:p w14:paraId="4B58582F">
            <w:pPr>
              <w:keepNext w:val="0"/>
              <w:keepLines w:val="0"/>
              <w:pageBreakBefore w:val="0"/>
              <w:widowControl w:val="0"/>
              <w:kinsoku/>
              <w:wordWrap/>
              <w:overflowPunct/>
              <w:topLinePunct w:val="0"/>
              <w:autoSpaceDE/>
              <w:autoSpaceDN/>
              <w:bidi w:val="0"/>
              <w:adjustRightInd/>
              <w:snapToGrid/>
              <w:spacing w:after="120" w:line="520" w:lineRule="exact"/>
              <w:jc w:val="both"/>
              <w:textAlignment w:val="auto"/>
              <w:rPr>
                <w:rFonts w:hint="eastAsia" w:ascii="仿宋_GB2312" w:hAnsi="仿宋_GB2312" w:eastAsia="仿宋_GB2312" w:cs="仿宋_GB2312"/>
                <w:b w:val="0"/>
                <w:i w:val="0"/>
                <w:strike w:val="0"/>
                <w:color w:val="auto"/>
                <w:sz w:val="30"/>
                <w:szCs w:val="30"/>
                <w:u w:val="none"/>
                <w:lang w:val="en-US" w:eastAsia="zh-CN"/>
              </w:rPr>
            </w:pPr>
            <w:r>
              <w:rPr>
                <w:rFonts w:hint="eastAsia" w:ascii="仿宋_GB2312" w:hAnsi="仿宋_GB2312" w:eastAsia="仿宋_GB2312" w:cs="仿宋_GB2312"/>
                <w:b w:val="0"/>
                <w:i w:val="0"/>
                <w:strike w:val="0"/>
                <w:color w:val="auto"/>
                <w:sz w:val="30"/>
                <w:szCs w:val="30"/>
                <w:u w:val="none"/>
                <w:lang w:val="en-US" w:eastAsia="zh-CN"/>
              </w:rPr>
              <w:t>账实核对</w:t>
            </w:r>
          </w:p>
        </w:tc>
        <w:tc>
          <w:tcPr>
            <w:tcW w:w="6000" w:type="dxa"/>
            <w:tcBorders>
              <w:top w:val="nil"/>
              <w:left w:val="nil"/>
              <w:bottom w:val="single" w:color="000000" w:sz="8" w:space="0"/>
              <w:right w:val="single" w:color="000000" w:sz="8" w:space="0"/>
            </w:tcBorders>
            <w:noWrap w:val="0"/>
            <w:vAlign w:val="center"/>
          </w:tcPr>
          <w:p w14:paraId="54E8FD5A">
            <w:pPr>
              <w:keepNext w:val="0"/>
              <w:keepLines w:val="0"/>
              <w:pageBreakBefore w:val="0"/>
              <w:widowControl w:val="0"/>
              <w:kinsoku/>
              <w:wordWrap/>
              <w:overflowPunct/>
              <w:topLinePunct w:val="0"/>
              <w:autoSpaceDE/>
              <w:autoSpaceDN/>
              <w:bidi w:val="0"/>
              <w:adjustRightInd/>
              <w:snapToGrid/>
              <w:spacing w:after="120" w:line="520" w:lineRule="exact"/>
              <w:ind w:firstLine="600" w:firstLineChars="200"/>
              <w:jc w:val="both"/>
              <w:textAlignment w:val="auto"/>
              <w:rPr>
                <w:rFonts w:hint="eastAsia" w:ascii="仿宋_GB2312" w:hAnsi="仿宋_GB2312" w:eastAsia="仿宋_GB2312" w:cs="仿宋_GB2312"/>
                <w:b w:val="0"/>
                <w:i w:val="0"/>
                <w:strike w:val="0"/>
                <w:color w:val="auto"/>
                <w:sz w:val="30"/>
                <w:szCs w:val="30"/>
                <w:u w:val="none"/>
                <w:lang w:val="en-US" w:eastAsia="zh-CN"/>
              </w:rPr>
            </w:pPr>
            <w:r>
              <w:rPr>
                <w:rFonts w:hint="eastAsia" w:ascii="仿宋_GB2312" w:hAnsi="仿宋_GB2312" w:eastAsia="仿宋_GB2312" w:cs="仿宋_GB2312"/>
                <w:b w:val="0"/>
                <w:i w:val="0"/>
                <w:strike w:val="0"/>
                <w:color w:val="auto"/>
                <w:sz w:val="30"/>
                <w:szCs w:val="30"/>
                <w:u w:val="none"/>
                <w:lang w:val="en-US" w:eastAsia="zh-CN"/>
              </w:rPr>
              <w:t>逐件核对资产标签、使用部门、使用人、存放位置、购入日期等信息，确保账、卡、物100%匹配。将盘点实物数与现有资产系统数据、财务账目、资产台账进行一对一比对，做到以账查物、以物对账，账实相符、账账相符，并完成固定资产台账数据优化导入至行政事业单位资产管理信息系统（久其资产管理系统）中。</w:t>
            </w:r>
          </w:p>
        </w:tc>
        <w:tc>
          <w:tcPr>
            <w:tcW w:w="1871" w:type="dxa"/>
            <w:tcBorders>
              <w:top w:val="nil"/>
              <w:left w:val="nil"/>
              <w:bottom w:val="single" w:color="000000" w:sz="8" w:space="0"/>
              <w:right w:val="single" w:color="000000" w:sz="8" w:space="0"/>
            </w:tcBorders>
            <w:noWrap w:val="0"/>
            <w:vAlign w:val="center"/>
          </w:tcPr>
          <w:p w14:paraId="576A0E78">
            <w:pPr>
              <w:keepNext w:val="0"/>
              <w:keepLines w:val="0"/>
              <w:pageBreakBefore w:val="0"/>
              <w:widowControl w:val="0"/>
              <w:kinsoku/>
              <w:wordWrap/>
              <w:overflowPunct/>
              <w:topLinePunct w:val="0"/>
              <w:autoSpaceDE/>
              <w:autoSpaceDN/>
              <w:bidi w:val="0"/>
              <w:adjustRightInd/>
              <w:snapToGrid/>
              <w:spacing w:after="120" w:line="520" w:lineRule="exact"/>
              <w:jc w:val="both"/>
              <w:textAlignment w:val="auto"/>
              <w:rPr>
                <w:rFonts w:hint="eastAsia" w:ascii="仿宋_GB2312" w:hAnsi="仿宋_GB2312" w:eastAsia="仿宋_GB2312" w:cs="仿宋_GB2312"/>
                <w:b w:val="0"/>
                <w:i w:val="0"/>
                <w:strike w:val="0"/>
                <w:color w:val="auto"/>
                <w:sz w:val="30"/>
                <w:szCs w:val="30"/>
                <w:u w:val="none"/>
                <w:lang w:val="en-US" w:eastAsia="zh-CN"/>
              </w:rPr>
            </w:pPr>
            <w:r>
              <w:rPr>
                <w:rFonts w:hint="eastAsia" w:ascii="仿宋_GB2312" w:hAnsi="仿宋_GB2312" w:eastAsia="仿宋_GB2312" w:cs="仿宋_GB2312"/>
                <w:b w:val="0"/>
                <w:i w:val="0"/>
                <w:strike w:val="0"/>
                <w:color w:val="auto"/>
                <w:sz w:val="30"/>
                <w:szCs w:val="30"/>
                <w:u w:val="none"/>
                <w:lang w:val="en-US" w:eastAsia="zh-CN"/>
              </w:rPr>
              <w:t>0误差率</w:t>
            </w:r>
          </w:p>
        </w:tc>
      </w:tr>
      <w:tr w14:paraId="15D2E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510" w:type="dxa"/>
            <w:tcBorders>
              <w:top w:val="nil"/>
              <w:left w:val="single" w:color="000000" w:sz="8" w:space="0"/>
              <w:bottom w:val="single" w:color="000000" w:sz="8" w:space="0"/>
              <w:right w:val="single" w:color="000000" w:sz="8" w:space="0"/>
            </w:tcBorders>
            <w:noWrap/>
            <w:vAlign w:val="center"/>
          </w:tcPr>
          <w:p w14:paraId="79C93B4A">
            <w:pPr>
              <w:keepNext w:val="0"/>
              <w:keepLines w:val="0"/>
              <w:pageBreakBefore w:val="0"/>
              <w:widowControl w:val="0"/>
              <w:kinsoku/>
              <w:wordWrap/>
              <w:overflowPunct/>
              <w:topLinePunct w:val="0"/>
              <w:autoSpaceDE/>
              <w:autoSpaceDN/>
              <w:bidi w:val="0"/>
              <w:adjustRightInd/>
              <w:snapToGrid/>
              <w:spacing w:after="120" w:line="520" w:lineRule="exact"/>
              <w:jc w:val="both"/>
              <w:textAlignment w:val="auto"/>
              <w:rPr>
                <w:rFonts w:hint="eastAsia" w:ascii="仿宋_GB2312" w:hAnsi="仿宋_GB2312" w:eastAsia="仿宋_GB2312" w:cs="仿宋_GB2312"/>
                <w:b w:val="0"/>
                <w:i w:val="0"/>
                <w:strike w:val="0"/>
                <w:color w:val="auto"/>
                <w:sz w:val="30"/>
                <w:szCs w:val="30"/>
                <w:u w:val="none"/>
                <w:shd w:val="clear" w:color="auto" w:fill="auto"/>
                <w:lang w:val="en-US" w:eastAsia="zh-CN"/>
              </w:rPr>
            </w:pPr>
            <w:r>
              <w:rPr>
                <w:rFonts w:hint="eastAsia" w:ascii="仿宋_GB2312" w:hAnsi="仿宋_GB2312" w:eastAsia="仿宋_GB2312" w:cs="仿宋_GB2312"/>
                <w:b w:val="0"/>
                <w:i w:val="0"/>
                <w:strike w:val="0"/>
                <w:color w:val="auto"/>
                <w:sz w:val="30"/>
                <w:szCs w:val="30"/>
                <w:u w:val="none"/>
                <w:shd w:val="clear" w:color="auto" w:fill="auto"/>
                <w:lang w:val="en-US" w:eastAsia="zh-CN"/>
              </w:rPr>
              <w:t>标签粘贴</w:t>
            </w:r>
          </w:p>
        </w:tc>
        <w:tc>
          <w:tcPr>
            <w:tcW w:w="6000" w:type="dxa"/>
            <w:tcBorders>
              <w:top w:val="nil"/>
              <w:left w:val="nil"/>
              <w:bottom w:val="single" w:color="000000" w:sz="8" w:space="0"/>
              <w:right w:val="single" w:color="000000" w:sz="8" w:space="0"/>
            </w:tcBorders>
            <w:noWrap w:val="0"/>
            <w:vAlign w:val="center"/>
          </w:tcPr>
          <w:p w14:paraId="01A9DB8B">
            <w:pPr>
              <w:keepNext w:val="0"/>
              <w:keepLines w:val="0"/>
              <w:pageBreakBefore w:val="0"/>
              <w:widowControl w:val="0"/>
              <w:kinsoku/>
              <w:wordWrap/>
              <w:overflowPunct/>
              <w:topLinePunct w:val="0"/>
              <w:autoSpaceDE/>
              <w:autoSpaceDN/>
              <w:bidi w:val="0"/>
              <w:adjustRightInd/>
              <w:snapToGrid/>
              <w:spacing w:after="120" w:line="520" w:lineRule="exact"/>
              <w:ind w:firstLine="600" w:firstLineChars="200"/>
              <w:jc w:val="both"/>
              <w:textAlignment w:val="auto"/>
              <w:rPr>
                <w:rFonts w:hint="eastAsia" w:ascii="仿宋_GB2312" w:hAnsi="仿宋_GB2312" w:eastAsia="仿宋_GB2312" w:cs="仿宋_GB2312"/>
                <w:b w:val="0"/>
                <w:i w:val="0"/>
                <w:strike w:val="0"/>
                <w:color w:val="auto"/>
                <w:sz w:val="30"/>
                <w:szCs w:val="30"/>
                <w:u w:val="none"/>
                <w:shd w:val="clear" w:color="auto" w:fill="auto"/>
                <w:lang w:val="en-US" w:eastAsia="zh-CN"/>
              </w:rPr>
            </w:pPr>
            <w:r>
              <w:rPr>
                <w:rFonts w:hint="eastAsia" w:ascii="仿宋_GB2312" w:hAnsi="仿宋_GB2312" w:eastAsia="仿宋_GB2312" w:cs="仿宋_GB2312"/>
                <w:b w:val="0"/>
                <w:i w:val="0"/>
                <w:strike w:val="0"/>
                <w:color w:val="auto"/>
                <w:sz w:val="30"/>
                <w:szCs w:val="30"/>
                <w:u w:val="none"/>
                <w:shd w:val="clear" w:color="auto" w:fill="auto"/>
                <w:lang w:val="en-US" w:eastAsia="zh-CN"/>
              </w:rPr>
              <w:t>按照“一物一卡”原则，在完成全面清查的基础上开展条码管理建设，制作并粘贴条码标签。在贴标签的过程中进行二次盘点，将实物和固定资产台账再次进行核对，并且将账实有出入的固定资产及时在管理系统中进行调整,打印出正确的条码标签并粘贴。</w:t>
            </w:r>
          </w:p>
        </w:tc>
        <w:tc>
          <w:tcPr>
            <w:tcW w:w="1871" w:type="dxa"/>
            <w:tcBorders>
              <w:top w:val="nil"/>
              <w:left w:val="nil"/>
              <w:bottom w:val="single" w:color="000000" w:sz="8" w:space="0"/>
              <w:right w:val="single" w:color="000000" w:sz="8" w:space="0"/>
            </w:tcBorders>
            <w:noWrap w:val="0"/>
            <w:vAlign w:val="center"/>
          </w:tcPr>
          <w:p w14:paraId="5EC11959">
            <w:pPr>
              <w:keepNext w:val="0"/>
              <w:keepLines w:val="0"/>
              <w:pageBreakBefore w:val="0"/>
              <w:widowControl w:val="0"/>
              <w:kinsoku/>
              <w:wordWrap/>
              <w:overflowPunct/>
              <w:topLinePunct w:val="0"/>
              <w:autoSpaceDE/>
              <w:autoSpaceDN/>
              <w:bidi w:val="0"/>
              <w:adjustRightInd/>
              <w:snapToGrid/>
              <w:spacing w:after="120" w:line="520" w:lineRule="exact"/>
              <w:jc w:val="left"/>
              <w:textAlignment w:val="auto"/>
              <w:rPr>
                <w:rFonts w:hint="eastAsia" w:ascii="仿宋_GB2312" w:hAnsi="仿宋_GB2312" w:eastAsia="仿宋_GB2312" w:cs="仿宋_GB2312"/>
                <w:b w:val="0"/>
                <w:i w:val="0"/>
                <w:strike w:val="0"/>
                <w:color w:val="auto"/>
                <w:sz w:val="30"/>
                <w:szCs w:val="30"/>
                <w:u w:val="none"/>
                <w:shd w:val="clear" w:color="auto" w:fill="auto"/>
                <w:lang w:val="en-US" w:eastAsia="zh-CN"/>
              </w:rPr>
            </w:pPr>
            <w:r>
              <w:rPr>
                <w:rFonts w:hint="eastAsia" w:ascii="仿宋_GB2312" w:hAnsi="仿宋_GB2312" w:eastAsia="仿宋_GB2312" w:cs="仿宋_GB2312"/>
                <w:b w:val="0"/>
                <w:i w:val="0"/>
                <w:strike w:val="0"/>
                <w:color w:val="auto"/>
                <w:sz w:val="30"/>
                <w:szCs w:val="30"/>
                <w:u w:val="none"/>
                <w:shd w:val="clear" w:color="auto" w:fill="auto"/>
                <w:lang w:val="en-US" w:eastAsia="zh-CN"/>
              </w:rPr>
              <w:t>标签完整率100%</w:t>
            </w:r>
          </w:p>
        </w:tc>
      </w:tr>
      <w:tr w14:paraId="75194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510" w:type="dxa"/>
            <w:tcBorders>
              <w:top w:val="nil"/>
              <w:left w:val="single" w:color="000000" w:sz="8" w:space="0"/>
              <w:bottom w:val="single" w:color="auto" w:sz="4" w:space="0"/>
              <w:right w:val="single" w:color="000000" w:sz="8" w:space="0"/>
            </w:tcBorders>
            <w:noWrap/>
            <w:vAlign w:val="center"/>
          </w:tcPr>
          <w:p w14:paraId="76EFC1EC">
            <w:pPr>
              <w:keepNext w:val="0"/>
              <w:keepLines w:val="0"/>
              <w:pageBreakBefore w:val="0"/>
              <w:widowControl w:val="0"/>
              <w:kinsoku/>
              <w:wordWrap/>
              <w:overflowPunct/>
              <w:topLinePunct w:val="0"/>
              <w:autoSpaceDE/>
              <w:autoSpaceDN/>
              <w:bidi w:val="0"/>
              <w:adjustRightInd/>
              <w:snapToGrid/>
              <w:spacing w:after="120" w:line="520" w:lineRule="exact"/>
              <w:jc w:val="both"/>
              <w:textAlignment w:val="auto"/>
              <w:rPr>
                <w:rFonts w:hint="eastAsia" w:ascii="仿宋_GB2312" w:hAnsi="仿宋_GB2312" w:eastAsia="仿宋_GB2312" w:cs="仿宋_GB2312"/>
                <w:b w:val="0"/>
                <w:i w:val="0"/>
                <w:strike w:val="0"/>
                <w:color w:val="auto"/>
                <w:sz w:val="30"/>
                <w:szCs w:val="30"/>
                <w:u w:val="none"/>
                <w:lang w:val="en-US" w:eastAsia="zh-CN"/>
              </w:rPr>
            </w:pPr>
            <w:r>
              <w:rPr>
                <w:rFonts w:hint="eastAsia" w:ascii="仿宋_GB2312" w:hAnsi="仿宋_GB2312" w:eastAsia="仿宋_GB2312" w:cs="仿宋_GB2312"/>
                <w:b w:val="0"/>
                <w:i w:val="0"/>
                <w:strike w:val="0"/>
                <w:color w:val="auto"/>
                <w:sz w:val="30"/>
                <w:szCs w:val="30"/>
                <w:u w:val="none"/>
                <w:lang w:val="en-US" w:eastAsia="zh-CN"/>
              </w:rPr>
              <w:t>数据报表</w:t>
            </w:r>
          </w:p>
        </w:tc>
        <w:tc>
          <w:tcPr>
            <w:tcW w:w="6000" w:type="dxa"/>
            <w:tcBorders>
              <w:top w:val="nil"/>
              <w:left w:val="nil"/>
              <w:bottom w:val="single" w:color="auto" w:sz="4" w:space="0"/>
              <w:right w:val="single" w:color="000000" w:sz="8" w:space="0"/>
            </w:tcBorders>
            <w:noWrap w:val="0"/>
            <w:vAlign w:val="center"/>
          </w:tcPr>
          <w:p w14:paraId="5C31295F">
            <w:pPr>
              <w:keepNext w:val="0"/>
              <w:keepLines w:val="0"/>
              <w:pageBreakBefore w:val="0"/>
              <w:widowControl w:val="0"/>
              <w:kinsoku/>
              <w:wordWrap/>
              <w:overflowPunct/>
              <w:topLinePunct w:val="0"/>
              <w:autoSpaceDE/>
              <w:autoSpaceDN/>
              <w:bidi w:val="0"/>
              <w:adjustRightInd/>
              <w:snapToGrid/>
              <w:spacing w:after="120" w:line="520" w:lineRule="exact"/>
              <w:ind w:firstLine="600" w:firstLineChars="200"/>
              <w:jc w:val="both"/>
              <w:textAlignment w:val="auto"/>
              <w:rPr>
                <w:rFonts w:hint="eastAsia" w:ascii="仿宋_GB2312" w:hAnsi="仿宋_GB2312" w:eastAsia="仿宋_GB2312" w:cs="仿宋_GB2312"/>
                <w:b w:val="0"/>
                <w:i w:val="0"/>
                <w:strike w:val="0"/>
                <w:color w:val="auto"/>
                <w:sz w:val="30"/>
                <w:szCs w:val="30"/>
                <w:u w:val="none"/>
                <w:lang w:val="en-US" w:eastAsia="zh-CN"/>
              </w:rPr>
            </w:pPr>
            <w:r>
              <w:rPr>
                <w:rFonts w:hint="eastAsia" w:ascii="仿宋_GB2312" w:hAnsi="仿宋_GB2312" w:eastAsia="仿宋_GB2312" w:cs="仿宋_GB2312"/>
                <w:b w:val="0"/>
                <w:i w:val="0"/>
                <w:strike w:val="0"/>
                <w:color w:val="auto"/>
                <w:sz w:val="30"/>
                <w:szCs w:val="30"/>
                <w:u w:val="none"/>
                <w:shd w:val="clear" w:color="auto" w:fill="auto"/>
                <w:lang w:val="en-US" w:eastAsia="zh-CN"/>
              </w:rPr>
              <w:t>提供6类核心报表:账实相符表、盘实表、盘盈表、盘亏表、待报废资产表、部门分账表。</w:t>
            </w:r>
          </w:p>
        </w:tc>
        <w:tc>
          <w:tcPr>
            <w:tcW w:w="1871" w:type="dxa"/>
            <w:tcBorders>
              <w:top w:val="nil"/>
              <w:left w:val="nil"/>
              <w:bottom w:val="single" w:color="auto" w:sz="4" w:space="0"/>
              <w:right w:val="single" w:color="000000" w:sz="8" w:space="0"/>
            </w:tcBorders>
            <w:noWrap w:val="0"/>
            <w:vAlign w:val="center"/>
          </w:tcPr>
          <w:p w14:paraId="206FE8CE">
            <w:pPr>
              <w:keepNext w:val="0"/>
              <w:keepLines w:val="0"/>
              <w:pageBreakBefore w:val="0"/>
              <w:widowControl w:val="0"/>
              <w:kinsoku/>
              <w:wordWrap/>
              <w:overflowPunct/>
              <w:topLinePunct w:val="0"/>
              <w:autoSpaceDE/>
              <w:autoSpaceDN/>
              <w:bidi w:val="0"/>
              <w:adjustRightInd/>
              <w:snapToGrid/>
              <w:spacing w:after="120" w:line="520" w:lineRule="exact"/>
              <w:jc w:val="left"/>
              <w:textAlignment w:val="auto"/>
              <w:rPr>
                <w:rFonts w:hint="eastAsia" w:ascii="仿宋_GB2312" w:hAnsi="仿宋_GB2312" w:eastAsia="仿宋_GB2312" w:cs="仿宋_GB2312"/>
                <w:b w:val="0"/>
                <w:i w:val="0"/>
                <w:strike w:val="0"/>
                <w:color w:val="auto"/>
                <w:sz w:val="30"/>
                <w:szCs w:val="30"/>
                <w:u w:val="none"/>
                <w:lang w:val="en-US" w:eastAsia="zh-CN"/>
              </w:rPr>
            </w:pPr>
            <w:r>
              <w:rPr>
                <w:rFonts w:hint="eastAsia" w:ascii="仿宋_GB2312" w:hAnsi="仿宋_GB2312" w:eastAsia="仿宋_GB2312" w:cs="仿宋_GB2312"/>
                <w:b w:val="0"/>
                <w:i w:val="0"/>
                <w:strike w:val="0"/>
                <w:color w:val="auto"/>
                <w:sz w:val="30"/>
                <w:szCs w:val="30"/>
                <w:u w:val="none"/>
                <w:lang w:val="en-US" w:eastAsia="zh-CN"/>
              </w:rPr>
              <w:t>数据字段完整率100%</w:t>
            </w:r>
          </w:p>
        </w:tc>
      </w:tr>
      <w:tr w14:paraId="5EA8B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510" w:type="dxa"/>
            <w:tcBorders>
              <w:top w:val="single" w:color="auto" w:sz="4" w:space="0"/>
              <w:left w:val="single" w:color="000000" w:sz="8" w:space="0"/>
              <w:bottom w:val="single" w:color="000000" w:sz="8" w:space="0"/>
              <w:right w:val="single" w:color="000000" w:sz="8" w:space="0"/>
            </w:tcBorders>
            <w:noWrap/>
            <w:vAlign w:val="center"/>
          </w:tcPr>
          <w:p w14:paraId="12A1D990">
            <w:pPr>
              <w:keepNext w:val="0"/>
              <w:keepLines w:val="0"/>
              <w:pageBreakBefore w:val="0"/>
              <w:widowControl w:val="0"/>
              <w:kinsoku/>
              <w:wordWrap/>
              <w:overflowPunct/>
              <w:topLinePunct w:val="0"/>
              <w:autoSpaceDE/>
              <w:autoSpaceDN/>
              <w:bidi w:val="0"/>
              <w:adjustRightInd/>
              <w:snapToGrid/>
              <w:spacing w:after="120" w:line="520" w:lineRule="exact"/>
              <w:jc w:val="both"/>
              <w:textAlignment w:val="auto"/>
              <w:rPr>
                <w:rFonts w:hint="eastAsia" w:ascii="仿宋_GB2312" w:hAnsi="仿宋_GB2312" w:eastAsia="仿宋_GB2312" w:cs="仿宋_GB2312"/>
                <w:b w:val="0"/>
                <w:i w:val="0"/>
                <w:strike w:val="0"/>
                <w:color w:val="auto"/>
                <w:sz w:val="30"/>
                <w:szCs w:val="30"/>
                <w:u w:val="none"/>
                <w:lang w:val="en-US" w:eastAsia="zh-CN"/>
              </w:rPr>
            </w:pPr>
            <w:r>
              <w:rPr>
                <w:rFonts w:hint="eastAsia" w:ascii="仿宋_GB2312" w:hAnsi="仿宋_GB2312" w:eastAsia="仿宋_GB2312" w:cs="仿宋_GB2312"/>
                <w:b w:val="0"/>
                <w:i w:val="0"/>
                <w:strike w:val="0"/>
                <w:color w:val="auto"/>
                <w:sz w:val="30"/>
                <w:szCs w:val="30"/>
                <w:u w:val="none"/>
                <w:lang w:val="en-US" w:eastAsia="zh-CN"/>
              </w:rPr>
              <w:t>清查报告</w:t>
            </w:r>
          </w:p>
        </w:tc>
        <w:tc>
          <w:tcPr>
            <w:tcW w:w="6000" w:type="dxa"/>
            <w:tcBorders>
              <w:top w:val="single" w:color="auto" w:sz="4" w:space="0"/>
              <w:left w:val="nil"/>
              <w:bottom w:val="single" w:color="000000" w:sz="8" w:space="0"/>
              <w:right w:val="single" w:color="000000" w:sz="8" w:space="0"/>
            </w:tcBorders>
            <w:noWrap w:val="0"/>
            <w:vAlign w:val="center"/>
          </w:tcPr>
          <w:p w14:paraId="34FA516D">
            <w:pPr>
              <w:keepNext w:val="0"/>
              <w:keepLines w:val="0"/>
              <w:pageBreakBefore w:val="0"/>
              <w:widowControl w:val="0"/>
              <w:kinsoku/>
              <w:wordWrap/>
              <w:overflowPunct/>
              <w:topLinePunct w:val="0"/>
              <w:autoSpaceDE/>
              <w:autoSpaceDN/>
              <w:bidi w:val="0"/>
              <w:adjustRightInd/>
              <w:snapToGrid/>
              <w:spacing w:after="120" w:line="520" w:lineRule="exact"/>
              <w:ind w:firstLine="600" w:firstLineChars="200"/>
              <w:jc w:val="both"/>
              <w:textAlignment w:val="auto"/>
              <w:rPr>
                <w:rFonts w:hint="eastAsia" w:ascii="仿宋_GB2312" w:hAnsi="仿宋_GB2312" w:eastAsia="仿宋_GB2312" w:cs="仿宋_GB2312"/>
                <w:b w:val="0"/>
                <w:i w:val="0"/>
                <w:strike w:val="0"/>
                <w:color w:val="auto"/>
                <w:sz w:val="30"/>
                <w:szCs w:val="30"/>
                <w:u w:val="none"/>
                <w:lang w:val="en-US" w:eastAsia="zh-CN"/>
              </w:rPr>
            </w:pPr>
            <w:r>
              <w:rPr>
                <w:rFonts w:hint="eastAsia" w:ascii="仿宋_GB2312" w:hAnsi="仿宋_GB2312" w:eastAsia="仿宋_GB2312" w:cs="仿宋_GB2312"/>
                <w:b w:val="0"/>
                <w:i w:val="0"/>
                <w:strike w:val="0"/>
                <w:color w:val="auto"/>
                <w:sz w:val="30"/>
                <w:szCs w:val="30"/>
                <w:u w:val="none"/>
                <w:lang w:val="en-US" w:eastAsia="zh-CN"/>
              </w:rPr>
              <w:t>在清查工作完成后提供准确、有效的资产清查报告。清查报告需重点说明盘亏原因、闲置待报废资产、处置方法、管理漏洞及改进建议等。</w:t>
            </w:r>
          </w:p>
        </w:tc>
        <w:tc>
          <w:tcPr>
            <w:tcW w:w="1871" w:type="dxa"/>
            <w:tcBorders>
              <w:top w:val="single" w:color="auto" w:sz="4" w:space="0"/>
              <w:left w:val="nil"/>
              <w:bottom w:val="single" w:color="000000" w:sz="8" w:space="0"/>
              <w:right w:val="single" w:color="000000" w:sz="8" w:space="0"/>
            </w:tcBorders>
            <w:noWrap w:val="0"/>
            <w:vAlign w:val="center"/>
          </w:tcPr>
          <w:p w14:paraId="165C7F3F">
            <w:pPr>
              <w:keepNext w:val="0"/>
              <w:keepLines w:val="0"/>
              <w:pageBreakBefore w:val="0"/>
              <w:widowControl w:val="0"/>
              <w:kinsoku/>
              <w:wordWrap/>
              <w:overflowPunct/>
              <w:topLinePunct w:val="0"/>
              <w:autoSpaceDE/>
              <w:autoSpaceDN/>
              <w:bidi w:val="0"/>
              <w:adjustRightInd/>
              <w:snapToGrid/>
              <w:spacing w:after="120" w:line="520" w:lineRule="exact"/>
              <w:jc w:val="left"/>
              <w:textAlignment w:val="auto"/>
              <w:rPr>
                <w:rFonts w:hint="eastAsia" w:ascii="仿宋_GB2312" w:hAnsi="仿宋_GB2312" w:eastAsia="仿宋_GB2312" w:cs="仿宋_GB2312"/>
                <w:b w:val="0"/>
                <w:i w:val="0"/>
                <w:strike w:val="0"/>
                <w:color w:val="auto"/>
                <w:sz w:val="30"/>
                <w:szCs w:val="30"/>
                <w:u w:val="none"/>
                <w:lang w:val="en-US" w:eastAsia="zh-CN"/>
              </w:rPr>
            </w:pPr>
            <w:r>
              <w:rPr>
                <w:rFonts w:hint="eastAsia" w:ascii="仿宋_GB2312" w:hAnsi="仿宋_GB2312" w:eastAsia="仿宋_GB2312" w:cs="仿宋_GB2312"/>
                <w:b w:val="0"/>
                <w:i w:val="0"/>
                <w:strike w:val="0"/>
                <w:color w:val="auto"/>
                <w:sz w:val="30"/>
                <w:szCs w:val="30"/>
                <w:u w:val="none"/>
                <w:lang w:val="en-US" w:eastAsia="zh-CN"/>
              </w:rPr>
              <w:t>报告逻辑清晰，无重大遗漏</w:t>
            </w:r>
          </w:p>
        </w:tc>
      </w:tr>
    </w:tbl>
    <w:p w14:paraId="0D6777F6">
      <w:pPr>
        <w:spacing w:line="240" w:lineRule="auto"/>
        <w:ind w:firstLine="602" w:firstLineChars="200"/>
        <w:jc w:val="both"/>
        <w:rPr>
          <w:rFonts w:hint="eastAsia" w:ascii="仿宋_GB2312" w:hAnsi="仿宋_GB2312" w:eastAsia="仿宋_GB2312" w:cs="仿宋_GB2312"/>
          <w:b/>
          <w:i w:val="0"/>
          <w:strike w:val="0"/>
          <w:color w:val="auto"/>
          <w:sz w:val="30"/>
          <w:szCs w:val="30"/>
          <w:u w:val="none"/>
          <w:lang w:val="en-US" w:eastAsia="zh-CN"/>
        </w:rPr>
      </w:pPr>
      <w:r>
        <w:rPr>
          <w:rFonts w:hint="eastAsia" w:ascii="仿宋_GB2312" w:hAnsi="仿宋_GB2312" w:eastAsia="仿宋_GB2312" w:cs="仿宋_GB2312"/>
          <w:b/>
          <w:i w:val="0"/>
          <w:strike w:val="0"/>
          <w:color w:val="auto"/>
          <w:sz w:val="30"/>
          <w:szCs w:val="30"/>
          <w:u w:val="none"/>
          <w:lang w:val="en-US" w:eastAsia="zh-CN"/>
        </w:rPr>
        <w:t>2.报废资产评估服务</w:t>
      </w:r>
    </w:p>
    <w:tbl>
      <w:tblPr>
        <w:tblStyle w:val="4"/>
        <w:tblW w:w="9306"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10"/>
        <w:gridCol w:w="5126"/>
        <w:gridCol w:w="2670"/>
      </w:tblGrid>
      <w:tr w14:paraId="49C30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0" w:type="dxa"/>
            <w:tcBorders>
              <w:top w:val="single" w:color="000000" w:sz="4" w:space="0"/>
              <w:left w:val="single" w:color="000000" w:sz="4" w:space="0"/>
              <w:bottom w:val="single" w:color="000000" w:sz="4" w:space="0"/>
              <w:right w:val="single" w:color="000000" w:sz="4" w:space="0"/>
            </w:tcBorders>
            <w:noWrap/>
            <w:vAlign w:val="center"/>
          </w:tcPr>
          <w:p w14:paraId="57926A58">
            <w:pPr>
              <w:keepNext w:val="0"/>
              <w:keepLines w:val="0"/>
              <w:pageBreakBefore w:val="0"/>
              <w:widowControl/>
              <w:suppressLineNumbers w:val="0"/>
              <w:tabs>
                <w:tab w:val="left" w:pos="1480"/>
              </w:tabs>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b/>
                <w:bCs/>
                <w:i w:val="0"/>
                <w:iCs w:val="0"/>
                <w:color w:val="000000"/>
                <w:sz w:val="30"/>
                <w:szCs w:val="30"/>
                <w:u w:val="none"/>
              </w:rPr>
            </w:pPr>
            <w:r>
              <w:rPr>
                <w:rFonts w:hint="eastAsia" w:ascii="仿宋_GB2312" w:hAnsi="仿宋_GB2312" w:eastAsia="仿宋_GB2312" w:cs="仿宋_GB2312"/>
                <w:b/>
                <w:bCs/>
                <w:i w:val="0"/>
                <w:iCs w:val="0"/>
                <w:color w:val="000000"/>
                <w:kern w:val="0"/>
                <w:sz w:val="30"/>
                <w:szCs w:val="30"/>
                <w:u w:val="none"/>
                <w:lang w:val="en-US" w:eastAsia="zh-CN" w:bidi="ar"/>
              </w:rPr>
              <w:t>内容</w:t>
            </w:r>
          </w:p>
        </w:tc>
        <w:tc>
          <w:tcPr>
            <w:tcW w:w="5126" w:type="dxa"/>
            <w:tcBorders>
              <w:top w:val="single" w:color="000000" w:sz="4" w:space="0"/>
              <w:left w:val="single" w:color="000000" w:sz="4" w:space="0"/>
              <w:bottom w:val="single" w:color="000000" w:sz="4" w:space="0"/>
              <w:right w:val="single" w:color="000000" w:sz="4" w:space="0"/>
            </w:tcBorders>
            <w:noWrap/>
            <w:vAlign w:val="center"/>
          </w:tcPr>
          <w:p w14:paraId="18E147B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b/>
                <w:bCs/>
                <w:i w:val="0"/>
                <w:iCs w:val="0"/>
                <w:color w:val="000000"/>
                <w:sz w:val="30"/>
                <w:szCs w:val="30"/>
                <w:u w:val="none"/>
              </w:rPr>
            </w:pPr>
            <w:r>
              <w:rPr>
                <w:rFonts w:hint="eastAsia" w:ascii="仿宋_GB2312" w:hAnsi="仿宋_GB2312" w:eastAsia="仿宋_GB2312" w:cs="仿宋_GB2312"/>
                <w:b/>
                <w:bCs/>
                <w:i w:val="0"/>
                <w:iCs w:val="0"/>
                <w:color w:val="000000"/>
                <w:kern w:val="0"/>
                <w:sz w:val="30"/>
                <w:szCs w:val="30"/>
                <w:u w:val="none"/>
                <w:lang w:val="en-US" w:eastAsia="zh-CN" w:bidi="ar"/>
              </w:rPr>
              <w:t>具体要求</w:t>
            </w:r>
          </w:p>
        </w:tc>
        <w:tc>
          <w:tcPr>
            <w:tcW w:w="2670" w:type="dxa"/>
            <w:tcBorders>
              <w:top w:val="single" w:color="000000" w:sz="4" w:space="0"/>
              <w:left w:val="single" w:color="000000" w:sz="4" w:space="0"/>
              <w:bottom w:val="single" w:color="000000" w:sz="4" w:space="0"/>
              <w:right w:val="single" w:color="000000" w:sz="4" w:space="0"/>
            </w:tcBorders>
            <w:noWrap/>
            <w:vAlign w:val="center"/>
          </w:tcPr>
          <w:p w14:paraId="626980F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b/>
                <w:bCs/>
                <w:i w:val="0"/>
                <w:iCs w:val="0"/>
                <w:color w:val="000000"/>
                <w:sz w:val="30"/>
                <w:szCs w:val="30"/>
                <w:u w:val="none"/>
              </w:rPr>
            </w:pPr>
            <w:r>
              <w:rPr>
                <w:rFonts w:hint="eastAsia" w:ascii="仿宋_GB2312" w:hAnsi="仿宋_GB2312" w:eastAsia="仿宋_GB2312" w:cs="仿宋_GB2312"/>
                <w:b/>
                <w:bCs/>
                <w:i w:val="0"/>
                <w:iCs w:val="0"/>
                <w:color w:val="000000"/>
                <w:kern w:val="0"/>
                <w:sz w:val="30"/>
                <w:szCs w:val="30"/>
                <w:u w:val="none"/>
                <w:lang w:val="en-US" w:eastAsia="zh-CN" w:bidi="ar"/>
              </w:rPr>
              <w:t>验收标准</w:t>
            </w:r>
          </w:p>
        </w:tc>
      </w:tr>
      <w:tr w14:paraId="1BDCC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510" w:type="dxa"/>
            <w:tcBorders>
              <w:top w:val="single" w:color="000000" w:sz="4" w:space="0"/>
              <w:left w:val="single" w:color="000000" w:sz="4" w:space="0"/>
              <w:bottom w:val="single" w:color="000000" w:sz="4" w:space="0"/>
              <w:right w:val="single" w:color="000000" w:sz="4" w:space="0"/>
            </w:tcBorders>
            <w:noWrap/>
            <w:vAlign w:val="center"/>
          </w:tcPr>
          <w:p w14:paraId="657AAE74">
            <w:pPr>
              <w:keepNext w:val="0"/>
              <w:keepLines w:val="0"/>
              <w:pageBreakBefore w:val="0"/>
              <w:widowControl/>
              <w:suppressLineNumbers w:val="0"/>
              <w:tabs>
                <w:tab w:val="left" w:pos="1480"/>
              </w:tabs>
              <w:kinsoku/>
              <w:wordWrap/>
              <w:overflowPunct/>
              <w:topLinePunct w:val="0"/>
              <w:autoSpaceDE/>
              <w:autoSpaceDN/>
              <w:bidi w:val="0"/>
              <w:adjustRightInd/>
              <w:snapToGrid/>
              <w:spacing w:line="520" w:lineRule="exact"/>
              <w:jc w:val="both"/>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评估范围</w:t>
            </w:r>
          </w:p>
        </w:tc>
        <w:tc>
          <w:tcPr>
            <w:tcW w:w="5126" w:type="dxa"/>
            <w:tcBorders>
              <w:top w:val="single" w:color="000000" w:sz="4" w:space="0"/>
              <w:left w:val="single" w:color="000000" w:sz="4" w:space="0"/>
              <w:bottom w:val="single" w:color="000000" w:sz="4" w:space="0"/>
              <w:right w:val="single" w:color="000000" w:sz="4" w:space="0"/>
            </w:tcBorders>
            <w:noWrap w:val="0"/>
            <w:vAlign w:val="center"/>
          </w:tcPr>
          <w:p w14:paraId="74B7A397">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对拟报废资产评估，采用成本法/市场法计算残值。</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14:paraId="4B41A174">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评估方法符合《国资评估准则》</w:t>
            </w:r>
          </w:p>
        </w:tc>
      </w:tr>
      <w:tr w14:paraId="1F370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510" w:type="dxa"/>
            <w:tcBorders>
              <w:top w:val="single" w:color="000000" w:sz="4" w:space="0"/>
              <w:left w:val="single" w:color="000000" w:sz="4" w:space="0"/>
              <w:bottom w:val="single" w:color="000000" w:sz="4" w:space="0"/>
              <w:right w:val="single" w:color="000000" w:sz="4" w:space="0"/>
            </w:tcBorders>
            <w:noWrap/>
            <w:vAlign w:val="center"/>
          </w:tcPr>
          <w:p w14:paraId="0DCD6326">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评估报告</w:t>
            </w:r>
          </w:p>
        </w:tc>
        <w:tc>
          <w:tcPr>
            <w:tcW w:w="5126" w:type="dxa"/>
            <w:tcBorders>
              <w:top w:val="single" w:color="000000" w:sz="4" w:space="0"/>
              <w:left w:val="single" w:color="000000" w:sz="4" w:space="0"/>
              <w:bottom w:val="single" w:color="000000" w:sz="4" w:space="0"/>
              <w:right w:val="single" w:color="000000" w:sz="4" w:space="0"/>
            </w:tcBorders>
            <w:noWrap w:val="0"/>
            <w:vAlign w:val="center"/>
          </w:tcPr>
          <w:p w14:paraId="619F6990">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出具评估报告，列明资产原值、成新率、评估值、处置建议(拍卖/报废)。</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14:paraId="1513A28A">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报告需评估师签字并盖章</w:t>
            </w:r>
          </w:p>
        </w:tc>
      </w:tr>
    </w:tbl>
    <w:p w14:paraId="1F5D9138">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00" w:firstLineChars="200"/>
        <w:jc w:val="both"/>
        <w:textAlignment w:val="auto"/>
        <w:rPr>
          <w:rFonts w:hint="default"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备注：</w:t>
      </w:r>
      <w:r>
        <w:rPr>
          <w:rFonts w:hint="default" w:ascii="仿宋_GB2312" w:hAnsi="仿宋_GB2312" w:eastAsia="仿宋_GB2312" w:cs="仿宋_GB2312"/>
          <w:i w:val="0"/>
          <w:iCs w:val="0"/>
          <w:color w:val="000000"/>
          <w:kern w:val="0"/>
          <w:sz w:val="30"/>
          <w:szCs w:val="30"/>
          <w:u w:val="none"/>
          <w:lang w:val="en-US" w:eastAsia="zh-CN" w:bidi="ar"/>
        </w:rPr>
        <w:t>先验收清查结果，再启动评估(避免因清查数据错误导致评估失效)。</w:t>
      </w:r>
    </w:p>
    <w:p w14:paraId="5A6F637A">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80" w:leftChars="0" w:right="0" w:rightChars="0"/>
        <w:jc w:val="both"/>
        <w:textAlignment w:val="auto"/>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b/>
          <w:bCs/>
          <w:i w:val="0"/>
          <w:iCs w:val="0"/>
          <w:color w:val="000000"/>
          <w:kern w:val="0"/>
          <w:sz w:val="30"/>
          <w:szCs w:val="30"/>
          <w:u w:val="none"/>
          <w:lang w:val="en-US" w:eastAsia="zh-CN" w:bidi="ar"/>
        </w:rPr>
        <w:t>3.其他服务要求</w:t>
      </w:r>
    </w:p>
    <w:p w14:paraId="225B6FA2">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00" w:firstLineChars="200"/>
        <w:jc w:val="both"/>
        <w:textAlignment w:val="auto"/>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（1）</w:t>
      </w:r>
      <w:r>
        <w:rPr>
          <w:rFonts w:hint="default" w:ascii="仿宋_GB2312" w:hAnsi="仿宋_GB2312" w:eastAsia="仿宋_GB2312" w:cs="仿宋_GB2312"/>
          <w:i w:val="0"/>
          <w:iCs w:val="0"/>
          <w:color w:val="000000"/>
          <w:kern w:val="0"/>
          <w:sz w:val="30"/>
          <w:szCs w:val="30"/>
          <w:u w:val="none"/>
          <w:lang w:val="en-US" w:eastAsia="zh-CN" w:bidi="ar"/>
        </w:rPr>
        <w:t>若因清查数据不准确导致评估偏差，供应商需免费重新</w:t>
      </w:r>
      <w:r>
        <w:rPr>
          <w:rFonts w:hint="eastAsia" w:ascii="仿宋_GB2312" w:hAnsi="仿宋_GB2312" w:eastAsia="仿宋_GB2312" w:cs="仿宋_GB2312"/>
          <w:i w:val="0"/>
          <w:iCs w:val="0"/>
          <w:color w:val="000000"/>
          <w:kern w:val="0"/>
          <w:sz w:val="30"/>
          <w:szCs w:val="30"/>
          <w:u w:val="none"/>
          <w:lang w:val="en-US" w:eastAsia="zh-CN" w:bidi="ar"/>
        </w:rPr>
        <w:t>评查、</w:t>
      </w:r>
      <w:r>
        <w:rPr>
          <w:rFonts w:hint="default" w:ascii="仿宋_GB2312" w:hAnsi="仿宋_GB2312" w:eastAsia="仿宋_GB2312" w:cs="仿宋_GB2312"/>
          <w:i w:val="0"/>
          <w:iCs w:val="0"/>
          <w:color w:val="000000"/>
          <w:kern w:val="0"/>
          <w:sz w:val="30"/>
          <w:szCs w:val="30"/>
          <w:u w:val="none"/>
          <w:lang w:val="en-US" w:eastAsia="zh-CN" w:bidi="ar"/>
        </w:rPr>
        <w:t>评估</w:t>
      </w:r>
      <w:r>
        <w:rPr>
          <w:rFonts w:hint="eastAsia" w:ascii="仿宋_GB2312" w:hAnsi="仿宋_GB2312" w:eastAsia="仿宋_GB2312" w:cs="仿宋_GB2312"/>
          <w:i w:val="0"/>
          <w:iCs w:val="0"/>
          <w:color w:val="000000"/>
          <w:kern w:val="0"/>
          <w:sz w:val="30"/>
          <w:szCs w:val="30"/>
          <w:u w:val="none"/>
          <w:lang w:val="en-US" w:eastAsia="zh-CN" w:bidi="ar"/>
        </w:rPr>
        <w:t>。</w:t>
      </w:r>
    </w:p>
    <w:p w14:paraId="20D399BD">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00" w:firstLineChars="200"/>
        <w:jc w:val="both"/>
        <w:textAlignment w:val="auto"/>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（2）供应商提交的报废资产评估报告，须作为后续资产处置(如报废拍卖)的法定依据。若因评估不实导致国有资产流失，供应商需承担相应法律责任。</w:t>
      </w:r>
    </w:p>
    <w:p w14:paraId="0143664E">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00" w:firstLineChars="200"/>
        <w:jc w:val="both"/>
        <w:textAlignment w:val="auto"/>
      </w:pPr>
      <w:r>
        <w:rPr>
          <w:rFonts w:hint="eastAsia" w:ascii="仿宋_GB2312" w:hAnsi="仿宋_GB2312" w:eastAsia="仿宋_GB2312" w:cs="仿宋_GB2312"/>
          <w:i w:val="0"/>
          <w:iCs w:val="0"/>
          <w:color w:val="000000"/>
          <w:kern w:val="0"/>
          <w:sz w:val="30"/>
          <w:szCs w:val="30"/>
          <w:u w:val="none"/>
          <w:lang w:val="en-US" w:eastAsia="zh-CN" w:bidi="ar"/>
        </w:rPr>
        <w:t>（3）清查工作人员必须遵守保密规定，恪守诚信原则，资产清查过程中获取的资料仅限于本次资产清查使用，不得擅自对外披露。</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Web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ebdings">
    <w:panose1 w:val="05030102010509060703"/>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汉仪典雅体简">
    <w:panose1 w:val="00020600040101010101"/>
    <w:charset w:val="86"/>
    <w:family w:val="auto"/>
    <w:pitch w:val="default"/>
    <w:sig w:usb0="A00002BF" w:usb1="18EF7CFA" w:usb2="00000016" w:usb3="00000000" w:csb0="00040000" w:csb1="00000000"/>
  </w:font>
  <w:font w:name="汉仪劲楷简">
    <w:panose1 w:val="00020600040101010101"/>
    <w:charset w:val="86"/>
    <w:family w:val="auto"/>
    <w:pitch w:val="default"/>
    <w:sig w:usb0="A00002BF" w:usb1="18EF7CFA" w:usb2="00000016" w:usb3="00000000" w:csb0="00040000" w:csb1="00000000"/>
  </w:font>
  <w:font w:name="汉仪中宋简">
    <w:panose1 w:val="02010600000101010101"/>
    <w:charset w:val="80"/>
    <w:family w:val="auto"/>
    <w:pitch w:val="default"/>
    <w:sig w:usb0="800002BF" w:usb1="184F6CF8" w:usb2="00000012" w:usb3="00000000" w:csb0="00020001" w:csb1="00000000"/>
  </w:font>
  <w:font w:name="汉仪大宋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883226"/>
    <w:rsid w:val="751A75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9"/>
    <w:pPr>
      <w:spacing w:before="100" w:beforeAutospacing="1" w:after="100" w:afterAutospacing="1"/>
      <w:jc w:val="left"/>
      <w:outlineLvl w:val="3"/>
    </w:pPr>
    <w:rPr>
      <w:rFonts w:hint="eastAsia" w:ascii="宋体" w:hAnsi="宋体" w:eastAsia="宋体" w:cs="宋体"/>
      <w:b/>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nhideWhenUsed/>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845</Words>
  <Characters>860</Characters>
  <Lines>0</Lines>
  <Paragraphs>0</Paragraphs>
  <TotalTime>0</TotalTime>
  <ScaleCrop>false</ScaleCrop>
  <LinksUpToDate>false</LinksUpToDate>
  <CharactersWithSpaces>860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崧儿</cp:lastModifiedBy>
  <cp:lastPrinted>2025-11-21T05:55:07Z</cp:lastPrinted>
  <dcterms:modified xsi:type="dcterms:W3CDTF">2025-11-21T06:22:57Z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eyJoZGlkIjoiZjE1OTEyNzdiODU0MjE0ODY5ZjUyNGUwNWU5Y2IxNjkiLCJ1c2VySWQiOiIyNzQ1ODY2MzIifQ==</vt:lpwstr>
  </property>
  <property fmtid="{D5CDD505-2E9C-101B-9397-08002B2CF9AE}" pid="4" name="ICV">
    <vt:lpwstr>77542311ADC6430FA49CCFFCFC71ACCA_12</vt:lpwstr>
  </property>
</Properties>
</file>