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638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成都公证处</w:t>
      </w:r>
      <w:r>
        <w:rPr>
          <w:rFonts w:hint="eastAsia" w:ascii="方正小标宋简体" w:hAnsi="方正小标宋简体" w:eastAsia="方正小标宋简体" w:cs="方正小标宋简体"/>
          <w:sz w:val="44"/>
          <w:szCs w:val="44"/>
        </w:rPr>
        <w:t>2025年固定资产清查</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sz w:val="44"/>
          <w:szCs w:val="44"/>
        </w:rPr>
        <w:t>比选评分标准</w:t>
      </w:r>
    </w:p>
    <w:p w14:paraId="2ECDC5A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Times New Roman" w:eastAsia="仿宋_GB2312" w:cs="Times New Roman"/>
          <w:sz w:val="10"/>
          <w:szCs w:val="10"/>
        </w:rPr>
      </w:pPr>
    </w:p>
    <w:p w14:paraId="65E65E2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eastAsia="仿宋_GB2312"/>
          <w:color w:val="0000FF"/>
          <w:szCs w:val="21"/>
        </w:rPr>
      </w:pPr>
    </w:p>
    <w:tbl>
      <w:tblPr>
        <w:tblStyle w:val="3"/>
        <w:tblpPr w:leftFromText="180" w:rightFromText="180" w:vertAnchor="text" w:horzAnchor="page" w:tblpX="1141" w:tblpY="233"/>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9"/>
        <w:gridCol w:w="7260"/>
        <w:gridCol w:w="966"/>
      </w:tblGrid>
      <w:tr w14:paraId="0DB5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tcBorders>
              <w:top w:val="single" w:color="000000" w:sz="8" w:space="0"/>
              <w:left w:val="single" w:color="000000" w:sz="8" w:space="0"/>
              <w:bottom w:val="single" w:color="000000" w:sz="8" w:space="0"/>
              <w:right w:val="single" w:color="000000" w:sz="8" w:space="0"/>
            </w:tcBorders>
            <w:noWrap w:val="0"/>
            <w:vAlign w:val="center"/>
          </w:tcPr>
          <w:p w14:paraId="4D2C9695">
            <w:pPr>
              <w:keepNext w:val="0"/>
              <w:keepLines w:val="0"/>
              <w:widowControl/>
              <w:suppressLineNumbers w:val="0"/>
              <w:jc w:val="both"/>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评审项目</w:t>
            </w:r>
          </w:p>
        </w:tc>
        <w:tc>
          <w:tcPr>
            <w:tcW w:w="7260" w:type="dxa"/>
            <w:tcBorders>
              <w:top w:val="single" w:color="000000" w:sz="8" w:space="0"/>
              <w:left w:val="single" w:color="000000" w:sz="8" w:space="0"/>
              <w:bottom w:val="single" w:color="000000" w:sz="8" w:space="0"/>
              <w:right w:val="single" w:color="000000" w:sz="8" w:space="0"/>
            </w:tcBorders>
            <w:noWrap w:val="0"/>
            <w:vAlign w:val="center"/>
          </w:tcPr>
          <w:p w14:paraId="2871AA3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评分标准</w:t>
            </w:r>
          </w:p>
        </w:tc>
        <w:tc>
          <w:tcPr>
            <w:tcW w:w="966" w:type="dxa"/>
            <w:tcBorders>
              <w:top w:val="single" w:color="000000" w:sz="8" w:space="0"/>
              <w:left w:val="single" w:color="000000" w:sz="8" w:space="0"/>
              <w:bottom w:val="single" w:color="000000" w:sz="8" w:space="0"/>
              <w:right w:val="single" w:color="000000" w:sz="8" w:space="0"/>
            </w:tcBorders>
            <w:noWrap w:val="0"/>
            <w:vAlign w:val="center"/>
          </w:tcPr>
          <w:p w14:paraId="1DCAB88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分值</w:t>
            </w:r>
          </w:p>
        </w:tc>
      </w:tr>
      <w:tr w14:paraId="174B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nil"/>
              <w:left w:val="single" w:color="000000" w:sz="8" w:space="0"/>
              <w:right w:val="single" w:color="000000" w:sz="8" w:space="0"/>
            </w:tcBorders>
            <w:noWrap w:val="0"/>
            <w:vAlign w:val="center"/>
          </w:tcPr>
          <w:p w14:paraId="03E326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报价分</w:t>
            </w:r>
          </w:p>
          <w:p w14:paraId="648220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c>
          <w:tcPr>
            <w:tcW w:w="7260" w:type="dxa"/>
            <w:tcBorders>
              <w:top w:val="nil"/>
              <w:left w:val="single" w:color="000000" w:sz="8" w:space="0"/>
              <w:bottom w:val="nil"/>
              <w:right w:val="single" w:color="000000" w:sz="8" w:space="0"/>
            </w:tcBorders>
            <w:noWrap w:val="0"/>
            <w:vAlign w:val="center"/>
          </w:tcPr>
          <w:p w14:paraId="6E0EDD5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以所有有效报价的算术平均价为基准:等于基准价得满分;每高于基准价1%扣1分，扣完为止;每低于基准价1%加0.5分，最高加5分。</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76B8A8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r>
      <w:tr w14:paraId="1DB5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left w:val="single" w:color="000000" w:sz="8" w:space="0"/>
              <w:right w:val="single" w:color="000000" w:sz="8" w:space="0"/>
            </w:tcBorders>
            <w:noWrap w:val="0"/>
            <w:vAlign w:val="center"/>
          </w:tcPr>
          <w:p w14:paraId="20C840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EE3AD0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比选小组认为供应商的报价明显低于其他通过资格审查的供应商的报价，有可能影响服务质量或者不能诚信履约的，应当要求其在比选小组规定的合理时间内提供书面说明，必要时提交相关证明材料；供应商不能证明其报价合理性的，比选小组有权将其作为无效投标处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141EAE9D">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395A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569" w:type="dxa"/>
            <w:vMerge w:val="continue"/>
            <w:tcBorders>
              <w:left w:val="single" w:color="000000" w:sz="8" w:space="0"/>
              <w:bottom w:val="single" w:color="auto" w:sz="4" w:space="0"/>
              <w:right w:val="single" w:color="000000" w:sz="8" w:space="0"/>
            </w:tcBorders>
            <w:noWrap/>
            <w:vAlign w:val="center"/>
          </w:tcPr>
          <w:p w14:paraId="76AFD30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6101052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2.投标报价超过最高限价的，比选小组作为无效投标处理。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47C8E8A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4D22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single" w:color="auto" w:sz="4" w:space="0"/>
              <w:left w:val="single" w:color="000000" w:sz="8" w:space="0"/>
              <w:right w:val="single" w:color="000000" w:sz="8" w:space="0"/>
            </w:tcBorders>
            <w:noWrap w:val="0"/>
            <w:vAlign w:val="center"/>
          </w:tcPr>
          <w:p w14:paraId="40503D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商务分</w:t>
            </w:r>
          </w:p>
          <w:p w14:paraId="0C4C50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(30分)</w:t>
            </w:r>
          </w:p>
        </w:tc>
        <w:tc>
          <w:tcPr>
            <w:tcW w:w="7260" w:type="dxa"/>
            <w:tcBorders>
              <w:top w:val="single" w:color="auto" w:sz="4" w:space="0"/>
              <w:left w:val="single" w:color="000000" w:sz="8" w:space="0"/>
              <w:bottom w:val="nil"/>
              <w:right w:val="single" w:color="000000" w:sz="8" w:space="0"/>
            </w:tcBorders>
            <w:noWrap w:val="0"/>
            <w:vAlign w:val="center"/>
          </w:tcPr>
          <w:p w14:paraId="4E10B03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业绩：</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76BE46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1771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left w:val="single" w:color="000000" w:sz="8" w:space="0"/>
              <w:right w:val="single" w:color="000000" w:sz="8" w:space="0"/>
            </w:tcBorders>
            <w:noWrap w:val="0"/>
            <w:vAlign w:val="center"/>
          </w:tcPr>
          <w:p w14:paraId="333F6D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12F69A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供应商提供的2022年至今承接过类似项目业绩，每提供1个业绩得2分，最高得分10分。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672E1580">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2BA7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left w:val="single" w:color="000000" w:sz="8" w:space="0"/>
              <w:bottom w:val="single" w:color="auto" w:sz="4" w:space="0"/>
              <w:right w:val="single" w:color="000000" w:sz="8" w:space="0"/>
            </w:tcBorders>
            <w:noWrap/>
            <w:vAlign w:val="center"/>
          </w:tcPr>
          <w:p w14:paraId="7E65288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0E72304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注：需提供业绩合同复印件加盖投标单位公章，或中标（成交）通知书复印件（扫描件）加盖投标单位公章，不提供不得分。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2B5F13F2">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57D0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right w:val="single" w:color="000000" w:sz="8" w:space="0"/>
            </w:tcBorders>
            <w:noWrap/>
            <w:vAlign w:val="center"/>
          </w:tcPr>
          <w:p w14:paraId="626DC59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7341A9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项目负责人：</w:t>
            </w:r>
          </w:p>
        </w:tc>
        <w:tc>
          <w:tcPr>
            <w:tcW w:w="966" w:type="dxa"/>
            <w:vMerge w:val="restart"/>
            <w:tcBorders>
              <w:top w:val="single" w:color="auto" w:sz="4" w:space="0"/>
              <w:left w:val="single" w:color="000000" w:sz="8" w:space="0"/>
              <w:bottom w:val="single" w:color="000000" w:sz="8" w:space="0"/>
              <w:right w:val="single" w:color="000000" w:sz="8" w:space="0"/>
            </w:tcBorders>
            <w:noWrap w:val="0"/>
            <w:vAlign w:val="center"/>
          </w:tcPr>
          <w:p w14:paraId="7EAD9E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359D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69" w:type="dxa"/>
            <w:vMerge w:val="continue"/>
            <w:tcBorders>
              <w:left w:val="single" w:color="000000" w:sz="8" w:space="0"/>
              <w:bottom w:val="single" w:color="auto" w:sz="4" w:space="0"/>
              <w:right w:val="single" w:color="000000" w:sz="8" w:space="0"/>
            </w:tcBorders>
            <w:noWrap/>
            <w:vAlign w:val="center"/>
          </w:tcPr>
          <w:p w14:paraId="78EF9A4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0134C16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1.项目负责人具有会计中级职称及以上或会计、审计等经济相关专业本科及以上学历从业10年经验，得10分；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49F0E8D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6EEC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760F6EEA">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single" w:color="000000" w:sz="8" w:space="0"/>
              <w:right w:val="single" w:color="000000" w:sz="8" w:space="0"/>
            </w:tcBorders>
            <w:noWrap w:val="0"/>
            <w:vAlign w:val="center"/>
          </w:tcPr>
          <w:p w14:paraId="35BA16A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如项目负责人具有会计中级职称及以上者需提供上述人员身份证、相关证书复印件加盖投标单位公章，同时提供2025年任意一个月为其缴纳社保的相关凭证或与本单位签订的劳动合同，不提供或漏项均不得分。如项目负责人无会计中级职称及以上证书，需提供上述人员身份证、毕业证书复印件及从业10年相关经验证明文件加盖投标单位公章，同时提供2025年任意一个月为其缴纳社保的相关凭证或与单位签订的劳动合同，不提供或漏项均不得分。</w:t>
            </w:r>
          </w:p>
        </w:tc>
        <w:tc>
          <w:tcPr>
            <w:tcW w:w="966" w:type="dxa"/>
            <w:vMerge w:val="continue"/>
            <w:tcBorders>
              <w:top w:val="single" w:color="auto" w:sz="4" w:space="0"/>
              <w:left w:val="single" w:color="000000" w:sz="8" w:space="0"/>
              <w:bottom w:val="single" w:color="000000" w:sz="8" w:space="0"/>
              <w:right w:val="single" w:color="000000" w:sz="8" w:space="0"/>
            </w:tcBorders>
            <w:noWrap w:val="0"/>
            <w:vAlign w:val="center"/>
          </w:tcPr>
          <w:p w14:paraId="209A16A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193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40FF2F8E">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F9AA2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项目团队（除项目负责人外）：</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332457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0F8B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AC0313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B98374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项目成员具有会计初级职称或会计、审计等经济相关专业本科及以上学历，提供1名得4分，最高10分。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0969182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24A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310DB8D">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7221476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注：提供上述人员身份证、毕业证复印件或扫描件加盖投标单位公章，同时提供2025年任意一个月缴纳社保证明材料或与本单位签订的劳动合同，不提供或漏项均不得分。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2916FFB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11CF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restart"/>
            <w:tcBorders>
              <w:top w:val="single" w:color="auto" w:sz="4" w:space="0"/>
              <w:left w:val="single" w:color="000000" w:sz="8" w:space="0"/>
              <w:bottom w:val="single" w:color="auto" w:sz="4" w:space="0"/>
              <w:right w:val="single" w:color="000000" w:sz="8" w:space="0"/>
            </w:tcBorders>
            <w:noWrap w:val="0"/>
            <w:vAlign w:val="center"/>
          </w:tcPr>
          <w:p w14:paraId="01591B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技术分</w:t>
            </w:r>
          </w:p>
          <w:p w14:paraId="1861FD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(40分)</w:t>
            </w:r>
          </w:p>
        </w:tc>
        <w:tc>
          <w:tcPr>
            <w:tcW w:w="7260" w:type="dxa"/>
            <w:tcBorders>
              <w:top w:val="single" w:color="auto" w:sz="4" w:space="0"/>
              <w:left w:val="single" w:color="000000" w:sz="8" w:space="0"/>
              <w:bottom w:val="nil"/>
              <w:right w:val="single" w:color="000000" w:sz="8" w:space="0"/>
            </w:tcBorders>
            <w:noWrap w:val="0"/>
            <w:vAlign w:val="center"/>
          </w:tcPr>
          <w:p w14:paraId="1F1D622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服务方案：</w:t>
            </w:r>
          </w:p>
        </w:tc>
        <w:tc>
          <w:tcPr>
            <w:tcW w:w="966" w:type="dxa"/>
            <w:vMerge w:val="restart"/>
            <w:tcBorders>
              <w:top w:val="single" w:color="auto" w:sz="4" w:space="0"/>
              <w:left w:val="single" w:color="000000" w:sz="8" w:space="0"/>
              <w:bottom w:val="single" w:color="000000" w:sz="8" w:space="0"/>
              <w:right w:val="single" w:color="000000" w:sz="8" w:space="0"/>
            </w:tcBorders>
            <w:noWrap w:val="0"/>
            <w:vAlign w:val="center"/>
          </w:tcPr>
          <w:p w14:paraId="26088E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20分</w:t>
            </w:r>
          </w:p>
        </w:tc>
      </w:tr>
      <w:tr w14:paraId="1CB0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1569" w:type="dxa"/>
            <w:vMerge w:val="continue"/>
            <w:tcBorders>
              <w:top w:val="single" w:color="auto" w:sz="4" w:space="0"/>
              <w:left w:val="single" w:color="000000" w:sz="8" w:space="0"/>
              <w:bottom w:val="single" w:color="auto" w:sz="4" w:space="0"/>
              <w:right w:val="single" w:color="000000" w:sz="8" w:space="0"/>
            </w:tcBorders>
            <w:noWrap w:val="0"/>
            <w:vAlign w:val="center"/>
          </w:tcPr>
          <w:p w14:paraId="1440DB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1CC51D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供应商针对本项目提供具体服务方案，包括但不限于服务流程、服务内容、服务时间、服务保障等，比选小组根据服务方案的内容进行综合评分：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159311F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7655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E9D435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0C2ED4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1.服务方案清晰、全面，方法可行，得20分；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9ABF734">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0CC9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0C6DC3B">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1939F77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72"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spacing w:val="-17"/>
                <w:kern w:val="0"/>
                <w:sz w:val="32"/>
                <w:szCs w:val="32"/>
                <w:u w:val="none"/>
                <w:lang w:val="en-US" w:eastAsia="zh-CN" w:bidi="ar"/>
              </w:rPr>
              <w:t>2.服务方案较清晰、全面，方法基本可行，得15分；</w:t>
            </w:r>
          </w:p>
          <w:p w14:paraId="6CD0B2A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572"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spacing w:val="-17"/>
                <w:kern w:val="0"/>
                <w:sz w:val="32"/>
                <w:szCs w:val="32"/>
                <w:lang w:val="en-US" w:eastAsia="zh-CN" w:bidi="ar"/>
              </w:rPr>
              <w:t>3.</w:t>
            </w:r>
            <w:r>
              <w:rPr>
                <w:rFonts w:hint="eastAsia" w:ascii="仿宋_GB2312" w:hAnsi="仿宋_GB2312" w:eastAsia="仿宋_GB2312" w:cs="仿宋_GB2312"/>
                <w:i w:val="0"/>
                <w:iCs w:val="0"/>
                <w:color w:val="auto"/>
                <w:spacing w:val="-23"/>
                <w:kern w:val="0"/>
                <w:sz w:val="32"/>
                <w:szCs w:val="32"/>
                <w:u w:val="none"/>
                <w:lang w:val="en-US" w:eastAsia="zh-CN" w:bidi="ar"/>
              </w:rPr>
              <w:t>服务方案不够清晰、全面，方法可行性差，得10分；</w:t>
            </w:r>
          </w:p>
          <w:p w14:paraId="5A6B4E6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pacing w:val="-17"/>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4.未提供方案的不得分。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0C116D7A">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r>
      <w:tr w14:paraId="1221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10140AF">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3BD36A4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质量控制措施：</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01CD8D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3BA8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D8FA3D3">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58914A9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针对项目特点和要求，制定整个资产清查过程的质量控制体系，控制措施应包括但不限于资产清查现场质量的管控，纠正资产管理问题，补充遗漏部分的复核管理以及初稿完成后未获通过采取的整改措施等内容：</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708844D">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7EFA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11A8E9CC">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75AAB81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1.方案内容清晰、全面，方法可行，得10分；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5794A8D4">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23F0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D04274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7386C9E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2.方案内容较清晰、全面，方法基本可行，得5分；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7B6AB62D">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25EB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357D1EC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single" w:color="auto" w:sz="4" w:space="0"/>
              <w:left w:val="single" w:color="000000" w:sz="8" w:space="0"/>
              <w:bottom w:val="nil"/>
              <w:right w:val="single" w:color="000000" w:sz="8" w:space="0"/>
            </w:tcBorders>
            <w:noWrap w:val="0"/>
            <w:vAlign w:val="center"/>
          </w:tcPr>
          <w:p w14:paraId="56CE6AA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3.方案内容不够清晰、全面，方法可行性差，得1分；</w:t>
            </w:r>
          </w:p>
        </w:tc>
        <w:tc>
          <w:tcPr>
            <w:tcW w:w="966" w:type="dxa"/>
            <w:vMerge w:val="continue"/>
            <w:tcBorders>
              <w:top w:val="single" w:color="auto" w:sz="4" w:space="0"/>
              <w:left w:val="single" w:color="000000" w:sz="8" w:space="0"/>
              <w:bottom w:val="single" w:color="000000" w:sz="8" w:space="0"/>
              <w:right w:val="single" w:color="000000" w:sz="8" w:space="0"/>
            </w:tcBorders>
            <w:noWrap w:val="0"/>
            <w:vAlign w:val="center"/>
          </w:tcPr>
          <w:p w14:paraId="6BB21777">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0CBE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DAE5EA5">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000000" w:sz="8" w:space="0"/>
              <w:right w:val="single" w:color="000000" w:sz="8" w:space="0"/>
            </w:tcBorders>
            <w:noWrap w:val="0"/>
            <w:vAlign w:val="center"/>
          </w:tcPr>
          <w:p w14:paraId="294DE9A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4.未提供方案的不得分。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4A83FE55">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2776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543BB6F9">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6B7D80F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b/>
                <w:bCs/>
                <w:i w:val="0"/>
                <w:iCs w:val="0"/>
                <w:color w:val="auto"/>
                <w:kern w:val="0"/>
                <w:sz w:val="32"/>
                <w:szCs w:val="32"/>
                <w:u w:val="none"/>
                <w:lang w:val="en-US" w:eastAsia="zh-CN" w:bidi="ar"/>
              </w:rPr>
              <w:t>服务响应承诺：</w:t>
            </w:r>
          </w:p>
        </w:tc>
        <w:tc>
          <w:tcPr>
            <w:tcW w:w="966" w:type="dxa"/>
            <w:vMerge w:val="restart"/>
            <w:tcBorders>
              <w:top w:val="nil"/>
              <w:left w:val="single" w:color="000000" w:sz="8" w:space="0"/>
              <w:bottom w:val="single" w:color="000000" w:sz="8" w:space="0"/>
              <w:right w:val="single" w:color="000000" w:sz="8" w:space="0"/>
            </w:tcBorders>
            <w:noWrap w:val="0"/>
            <w:vAlign w:val="center"/>
          </w:tcPr>
          <w:p w14:paraId="3F2551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10分</w:t>
            </w:r>
          </w:p>
        </w:tc>
      </w:tr>
      <w:tr w14:paraId="78DD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9892616">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08AF026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供应商承诺，在采购人有紧急工作安排时，供应商接到通知后，2小时内到达指定地点并提供相关专业服务得5分。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548129FC">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61D6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2D6270EB">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nil"/>
              <w:right w:val="single" w:color="000000" w:sz="8" w:space="0"/>
            </w:tcBorders>
            <w:noWrap w:val="0"/>
            <w:vAlign w:val="center"/>
          </w:tcPr>
          <w:p w14:paraId="3517C0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供应商承诺，</w:t>
            </w:r>
            <w:r>
              <w:rPr>
                <w:rFonts w:hint="eastAsia" w:ascii="仿宋_GB2312" w:hAnsi="仿宋_GB2312" w:eastAsia="仿宋_GB2312" w:cs="仿宋_GB2312"/>
                <w:i w:val="0"/>
                <w:iCs w:val="0"/>
                <w:color w:val="000000"/>
                <w:kern w:val="0"/>
                <w:sz w:val="32"/>
                <w:szCs w:val="32"/>
                <w:u w:val="none"/>
                <w:lang w:val="en-US" w:eastAsia="zh-CN" w:bidi="ar"/>
              </w:rPr>
              <w:t>资产清查完毕之后，提供一年的后续咨询服务，包括资产新增规范录入系统、折旧计提等，对于清查结束以后新增加和处置的资产，供应商提出相应的管理建议和措施的得5分。</w:t>
            </w:r>
          </w:p>
        </w:tc>
        <w:tc>
          <w:tcPr>
            <w:tcW w:w="966" w:type="dxa"/>
            <w:vMerge w:val="continue"/>
            <w:tcBorders>
              <w:top w:val="nil"/>
              <w:left w:val="single" w:color="000000" w:sz="8" w:space="0"/>
              <w:bottom w:val="single" w:color="000000" w:sz="8" w:space="0"/>
              <w:right w:val="single" w:color="000000" w:sz="8" w:space="0"/>
            </w:tcBorders>
            <w:noWrap w:val="0"/>
            <w:vAlign w:val="center"/>
          </w:tcPr>
          <w:p w14:paraId="75A35CB9">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3572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69" w:type="dxa"/>
            <w:vMerge w:val="continue"/>
            <w:tcBorders>
              <w:top w:val="single" w:color="auto" w:sz="4" w:space="0"/>
              <w:left w:val="single" w:color="000000" w:sz="8" w:space="0"/>
              <w:bottom w:val="single" w:color="auto" w:sz="4" w:space="0"/>
              <w:right w:val="single" w:color="000000" w:sz="8" w:space="0"/>
            </w:tcBorders>
            <w:noWrap/>
            <w:vAlign w:val="center"/>
          </w:tcPr>
          <w:p w14:paraId="618738D1">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_GB2312" w:hAnsi="仿宋_GB2312" w:eastAsia="仿宋_GB2312" w:cs="仿宋_GB2312"/>
                <w:i w:val="0"/>
                <w:iCs w:val="0"/>
                <w:color w:val="auto"/>
                <w:sz w:val="32"/>
                <w:szCs w:val="32"/>
                <w:u w:val="none"/>
              </w:rPr>
            </w:pPr>
          </w:p>
        </w:tc>
        <w:tc>
          <w:tcPr>
            <w:tcW w:w="7260" w:type="dxa"/>
            <w:tcBorders>
              <w:top w:val="nil"/>
              <w:left w:val="single" w:color="000000" w:sz="8" w:space="0"/>
              <w:bottom w:val="single" w:color="auto" w:sz="4" w:space="0"/>
              <w:right w:val="single" w:color="000000" w:sz="8" w:space="0"/>
            </w:tcBorders>
            <w:noWrap w:val="0"/>
            <w:vAlign w:val="center"/>
          </w:tcPr>
          <w:p w14:paraId="13F21B5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注：格式自拟，提供书面承诺并加盖投标单位公章，未提供不得分。</w:t>
            </w:r>
          </w:p>
        </w:tc>
        <w:tc>
          <w:tcPr>
            <w:tcW w:w="966" w:type="dxa"/>
            <w:vMerge w:val="continue"/>
            <w:tcBorders>
              <w:top w:val="nil"/>
              <w:left w:val="single" w:color="000000" w:sz="8" w:space="0"/>
              <w:bottom w:val="single" w:color="auto" w:sz="4" w:space="0"/>
              <w:right w:val="single" w:color="000000" w:sz="8" w:space="0"/>
            </w:tcBorders>
            <w:noWrap w:val="0"/>
            <w:vAlign w:val="center"/>
          </w:tcPr>
          <w:p w14:paraId="6B962F5F">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_GB2312" w:hAnsi="仿宋_GB2312" w:eastAsia="仿宋_GB2312" w:cs="仿宋_GB2312"/>
                <w:i w:val="0"/>
                <w:iCs w:val="0"/>
                <w:color w:val="auto"/>
                <w:sz w:val="32"/>
                <w:szCs w:val="32"/>
                <w:u w:val="none"/>
              </w:rPr>
            </w:pPr>
          </w:p>
        </w:tc>
      </w:tr>
      <w:tr w14:paraId="70F3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795" w:type="dxa"/>
            <w:gridSpan w:val="3"/>
            <w:tcBorders>
              <w:top w:val="single" w:color="auto" w:sz="4" w:space="0"/>
              <w:left w:val="single" w:color="000000" w:sz="8" w:space="0"/>
              <w:bottom w:val="single" w:color="auto" w:sz="4" w:space="0"/>
              <w:right w:val="single" w:color="000000" w:sz="8" w:space="0"/>
            </w:tcBorders>
            <w:noWrap w:val="0"/>
            <w:vAlign w:val="center"/>
          </w:tcPr>
          <w:p w14:paraId="3D17BE6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注：上述评分中，方案内容清晰、全面，方法可行等指：</w:t>
            </w:r>
          </w:p>
          <w:p w14:paraId="45A12B2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a.提供的方案基于采购需求的全口径，提出具有可行性的现状情况预判；</w:t>
            </w:r>
          </w:p>
          <w:p w14:paraId="3D7D655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b.准确把握方案中的重、难点，分析各类情况可能发生的不可预见性，并尽可能列明多种详细预案；</w:t>
            </w:r>
          </w:p>
          <w:p w14:paraId="2E3EE5B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c.针对不同的需求，能提供个性化解决方案，可以举例论证；</w:t>
            </w:r>
          </w:p>
          <w:p w14:paraId="2AEC41E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d.对于资料、数据等响应方案的支持材料提供详细、具体，具有一定的论证支持性；</w:t>
            </w:r>
          </w:p>
        </w:tc>
      </w:tr>
      <w:tr w14:paraId="16AE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8" w:hRule="atLeast"/>
        </w:trPr>
        <w:tc>
          <w:tcPr>
            <w:tcW w:w="9795" w:type="dxa"/>
            <w:gridSpan w:val="3"/>
            <w:tcBorders>
              <w:top w:val="single" w:color="auto" w:sz="4" w:space="0"/>
              <w:left w:val="single" w:color="000000" w:sz="8" w:space="0"/>
              <w:bottom w:val="single" w:color="000000" w:sz="8" w:space="0"/>
              <w:right w:val="single" w:color="000000" w:sz="8" w:space="0"/>
            </w:tcBorders>
            <w:noWrap w:val="0"/>
            <w:vAlign w:val="center"/>
          </w:tcPr>
          <w:p w14:paraId="05DE0A2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方案内容较清晰、全面，方法基本可行指：</w:t>
            </w:r>
          </w:p>
          <w:p w14:paraId="52E1F7B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a.响应方案基本完整，与采购需求不存在响应缺项；</w:t>
            </w:r>
          </w:p>
          <w:p w14:paraId="194F2BEB">
            <w:pPr>
              <w:keepNext w:val="0"/>
              <w:keepLines w:val="0"/>
              <w:pageBreakBefore w:val="0"/>
              <w:widowControl/>
              <w:suppressLineNumbers w:val="0"/>
              <w:kinsoku/>
              <w:wordWrap/>
              <w:overflowPunct/>
              <w:topLinePunct w:val="0"/>
              <w:autoSpaceDE/>
              <w:autoSpaceDN/>
              <w:bidi w:val="0"/>
              <w:adjustRightInd/>
              <w:snapToGrid/>
              <w:spacing w:line="520" w:lineRule="exact"/>
              <w:ind w:firstLine="616" w:firstLineChars="200"/>
              <w:jc w:val="left"/>
              <w:textAlignment w:val="center"/>
              <w:rPr>
                <w:rFonts w:hint="eastAsia" w:ascii="仿宋_GB2312" w:hAnsi="仿宋_GB2312" w:eastAsia="仿宋_GB2312" w:cs="仿宋_GB2312"/>
                <w:i w:val="0"/>
                <w:iCs w:val="0"/>
                <w:color w:val="auto"/>
                <w:spacing w:val="-6"/>
                <w:sz w:val="32"/>
                <w:szCs w:val="32"/>
                <w:u w:val="none"/>
              </w:rPr>
            </w:pPr>
            <w:r>
              <w:rPr>
                <w:rFonts w:hint="eastAsia" w:ascii="仿宋_GB2312" w:hAnsi="仿宋_GB2312" w:eastAsia="仿宋_GB2312" w:cs="仿宋_GB2312"/>
                <w:i w:val="0"/>
                <w:iCs w:val="0"/>
                <w:color w:val="auto"/>
                <w:spacing w:val="-6"/>
                <w:kern w:val="0"/>
                <w:sz w:val="32"/>
                <w:szCs w:val="32"/>
                <w:u w:val="none"/>
                <w:lang w:val="en-US" w:eastAsia="zh-CN" w:bidi="ar"/>
              </w:rPr>
              <w:t>b.对方案分步骤作出论证，展开分析或列明可行的具体解决方案；</w:t>
            </w:r>
          </w:p>
          <w:p w14:paraId="62E186E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c.针对不同的需求，能提供较为可行的解决方案；</w:t>
            </w:r>
          </w:p>
          <w:p w14:paraId="1428950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d.提供有资料、数据等响应方案的支撑材料；</w:t>
            </w:r>
          </w:p>
          <w:p w14:paraId="22F574E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方案内容不够清晰、全面，方法可行性差指：</w:t>
            </w:r>
          </w:p>
          <w:p w14:paraId="15DEAC8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a.响应方案不完整，与采购需求存在明显的响应缺项；</w:t>
            </w:r>
          </w:p>
          <w:p w14:paraId="2837F3D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b.只对方案作出标题式的简单论证，并未展开分析或列明可行的具体解决方案；</w:t>
            </w:r>
          </w:p>
          <w:p w14:paraId="283FE319">
            <w:pPr>
              <w:keepNext w:val="0"/>
              <w:keepLines w:val="0"/>
              <w:pageBreakBefore w:val="0"/>
              <w:widowControl/>
              <w:suppressLineNumbers w:val="0"/>
              <w:kinsoku/>
              <w:wordWrap/>
              <w:overflowPunct/>
              <w:topLinePunct w:val="0"/>
              <w:autoSpaceDE/>
              <w:autoSpaceDN/>
              <w:bidi w:val="0"/>
              <w:adjustRightInd/>
              <w:snapToGrid/>
              <w:spacing w:line="520" w:lineRule="exact"/>
              <w:ind w:firstLine="616" w:firstLineChars="200"/>
              <w:jc w:val="left"/>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spacing w:val="-6"/>
                <w:kern w:val="0"/>
                <w:sz w:val="32"/>
                <w:szCs w:val="32"/>
                <w:u w:val="none"/>
                <w:lang w:val="en-US" w:eastAsia="zh-CN" w:bidi="ar"/>
              </w:rPr>
              <w:t>c.部分资料、数据等响应方案的支撑材料提供过于简单或未提供。</w:t>
            </w:r>
          </w:p>
        </w:tc>
      </w:tr>
    </w:tbl>
    <w:p w14:paraId="37E89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jc w:val="left"/>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备注：</w:t>
      </w:r>
    </w:p>
    <w:p w14:paraId="0A717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lang w:val="en-US" w:eastAsia="zh-CN"/>
        </w:rPr>
        <w:t>1.</w:t>
      </w:r>
      <w:r>
        <w:rPr>
          <w:rFonts w:hint="eastAsia" w:ascii="仿宋_GB2312" w:hAnsi="仿宋_GB2312" w:eastAsia="仿宋_GB2312" w:cs="仿宋_GB2312"/>
          <w:i w:val="0"/>
          <w:iCs w:val="0"/>
          <w:caps w:val="0"/>
          <w:color w:val="auto"/>
          <w:spacing w:val="0"/>
          <w:sz w:val="32"/>
          <w:szCs w:val="32"/>
          <w:u w:val="none"/>
        </w:rPr>
        <w:t>评标总得分计算方法：</w:t>
      </w:r>
    </w:p>
    <w:p w14:paraId="7AB3D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评标总得分＝F1＋F2＋……＋Fn</w:t>
      </w:r>
    </w:p>
    <w:p w14:paraId="27EE0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F1、F2……Fn分别为各项评审</w:t>
      </w:r>
      <w:r>
        <w:rPr>
          <w:rFonts w:hint="eastAsia" w:ascii="仿宋_GB2312" w:hAnsi="仿宋_GB2312" w:eastAsia="仿宋_GB2312" w:cs="仿宋_GB2312"/>
          <w:i w:val="0"/>
          <w:iCs w:val="0"/>
          <w:caps w:val="0"/>
          <w:color w:val="auto"/>
          <w:spacing w:val="0"/>
          <w:sz w:val="32"/>
          <w:szCs w:val="32"/>
          <w:u w:val="none"/>
          <w:lang w:eastAsia="zh-CN"/>
        </w:rPr>
        <w:t>项目</w:t>
      </w:r>
      <w:r>
        <w:rPr>
          <w:rFonts w:hint="eastAsia" w:ascii="仿宋_GB2312" w:hAnsi="仿宋_GB2312" w:eastAsia="仿宋_GB2312" w:cs="仿宋_GB2312"/>
          <w:i w:val="0"/>
          <w:iCs w:val="0"/>
          <w:caps w:val="0"/>
          <w:color w:val="auto"/>
          <w:spacing w:val="0"/>
          <w:sz w:val="32"/>
          <w:szCs w:val="32"/>
          <w:u w:val="none"/>
        </w:rPr>
        <w:t>的得分；</w:t>
      </w:r>
    </w:p>
    <w:p w14:paraId="15B00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注：以上打分计算最终得分保留小数两位。</w:t>
      </w:r>
    </w:p>
    <w:p w14:paraId="0344F02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 w:beforeAutospacing="0" w:after="15" w:afterAutospacing="0" w:line="420" w:lineRule="atLeast"/>
        <w:ind w:right="0" w:rightChars="0" w:firstLine="640" w:firstLineChars="200"/>
        <w:jc w:val="left"/>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kern w:val="0"/>
          <w:sz w:val="32"/>
          <w:szCs w:val="32"/>
          <w:lang w:val="en-US" w:eastAsia="zh-CN" w:bidi="ar"/>
        </w:rPr>
        <w:t>2.</w:t>
      </w:r>
      <w:r>
        <w:rPr>
          <w:rFonts w:hint="eastAsia" w:ascii="仿宋_GB2312" w:hAnsi="仿宋_GB2312" w:eastAsia="仿宋_GB2312" w:cs="仿宋_GB2312"/>
          <w:i w:val="0"/>
          <w:iCs w:val="0"/>
          <w:caps w:val="0"/>
          <w:color w:val="auto"/>
          <w:spacing w:val="0"/>
          <w:sz w:val="32"/>
          <w:szCs w:val="32"/>
          <w:u w:val="none"/>
        </w:rPr>
        <w:t>排序原则：</w:t>
      </w:r>
    </w:p>
    <w:p w14:paraId="03F37EC5">
      <w:r>
        <w:rPr>
          <w:rFonts w:hint="eastAsia" w:ascii="仿宋_GB2312" w:hAnsi="仿宋_GB2312" w:eastAsia="仿宋_GB2312" w:cs="仿宋_GB2312"/>
          <w:i w:val="0"/>
          <w:iCs w:val="0"/>
          <w:caps w:val="0"/>
          <w:color w:val="auto"/>
          <w:spacing w:val="0"/>
          <w:sz w:val="32"/>
          <w:szCs w:val="32"/>
          <w:u w:val="none"/>
        </w:rPr>
        <w:t>标结果按评审后得分由高到低顺序排列。得分相同的，按投标报价由低到高顺序排列。</w:t>
      </w:r>
    </w:p>
    <w:p w14:paraId="2701DA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73628"/>
    <w:rsid w:val="6E1070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1245</Words>
  <Characters>1297</Characters>
  <Lines>0</Lines>
  <Paragraphs>0</Paragraphs>
  <TotalTime>0</TotalTime>
  <ScaleCrop>false</ScaleCrop>
  <LinksUpToDate>false</LinksUpToDate>
  <CharactersWithSpaces>1297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成都公证处</cp:lastModifiedBy>
  <dcterms:modified xsi:type="dcterms:W3CDTF">2025-12-17T02:25:53Z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eyJoZGlkIjoiM2M4YmFmNmNiMWFlODdjZjg0NGE1OTU3ZWFiNDM4MzEiLCJ1c2VySWQiOiIxNjA1Mzk0MjExIn0=</vt:lpwstr>
  </property>
  <property fmtid="{D5CDD505-2E9C-101B-9397-08002B2CF9AE}" pid="4" name="ICV">
    <vt:lpwstr>00C6D7828D0E40CFADEEEF0F87053825_12</vt:lpwstr>
  </property>
</Properties>
</file>